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BE44" w14:textId="77777777" w:rsidR="001D72D7" w:rsidRPr="000953FF" w:rsidRDefault="00414219" w:rsidP="00412FF1">
      <w:pPr>
        <w:suppressAutoHyphens/>
        <w:spacing w:after="0" w:line="240" w:lineRule="atLeast"/>
        <w:ind w:left="8496" w:firstLine="708"/>
        <w:jc w:val="center"/>
        <w:rPr>
          <w:rFonts w:ascii="Verdana" w:eastAsia="Times New Roman" w:hAnsi="Verdana" w:cs="Times New Roman"/>
          <w:b/>
          <w:lang w:eastAsia="zh-CN"/>
        </w:rPr>
      </w:pPr>
      <w:r w:rsidRPr="000953FF">
        <w:rPr>
          <w:rFonts w:ascii="Verdana" w:eastAsia="Times New Roman" w:hAnsi="Verdana" w:cs="Times New Roman"/>
          <w:b/>
          <w:lang w:eastAsia="zh-CN"/>
        </w:rPr>
        <w:t>ALLEGATO 2</w:t>
      </w:r>
    </w:p>
    <w:p w14:paraId="1C45E9E2" w14:textId="77777777" w:rsidR="001D72D7" w:rsidRPr="000953FF" w:rsidRDefault="00331D3B" w:rsidP="00D957CB">
      <w:pPr>
        <w:shd w:val="clear" w:color="auto" w:fill="FFFFFF"/>
        <w:suppressAutoHyphens/>
        <w:spacing w:after="0" w:line="360" w:lineRule="auto"/>
        <w:rPr>
          <w:rFonts w:ascii="Verdana" w:eastAsia="Times New Roman" w:hAnsi="Verdana" w:cs="Times New Roman"/>
          <w:sz w:val="19"/>
          <w:szCs w:val="19"/>
          <w:lang w:eastAsia="zh-CN"/>
        </w:rPr>
      </w:pP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 xml:space="preserve">Macrostruttura/Area in staff </w:t>
      </w:r>
      <w:r w:rsidR="000B523A"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_____________________</w:t>
      </w:r>
      <w:r w:rsidR="00D957CB"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_____________________</w:t>
      </w:r>
      <w:r w:rsidR="000B523A"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</w:t>
      </w:r>
      <w:r w:rsidR="001D72D7"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  <w:r w:rsidR="001D72D7"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</w:p>
    <w:p w14:paraId="412A38E7" w14:textId="77777777" w:rsidR="001D72D7" w:rsidRPr="000953FF" w:rsidRDefault="001D72D7" w:rsidP="001D72D7">
      <w:pPr>
        <w:shd w:val="clear" w:color="auto" w:fill="FFFFFF"/>
        <w:suppressAutoHyphens/>
        <w:spacing w:after="0" w:line="240" w:lineRule="atLeast"/>
        <w:rPr>
          <w:rFonts w:ascii="Verdana" w:eastAsia="Times New Roman" w:hAnsi="Verdana" w:cs="Times New Roman"/>
          <w:sz w:val="19"/>
          <w:szCs w:val="19"/>
          <w:lang w:eastAsia="zh-CN"/>
        </w:rPr>
      </w:pP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>Direttore /Dirigente Responsabile _______</w:t>
      </w:r>
      <w:r w:rsidR="00331D3B"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______</w:t>
      </w:r>
      <w:r w:rsidR="00D957CB"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__________________</w:t>
      </w:r>
      <w:r w:rsidR="00331D3B"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______</w:t>
      </w: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>__</w:t>
      </w:r>
    </w:p>
    <w:p w14:paraId="0BD5C7D1" w14:textId="77777777" w:rsidR="001D72D7" w:rsidRPr="000953FF" w:rsidRDefault="001D72D7" w:rsidP="001D72D7">
      <w:pPr>
        <w:suppressAutoHyphens/>
        <w:spacing w:after="0" w:line="240" w:lineRule="atLeast"/>
        <w:rPr>
          <w:rFonts w:ascii="Verdana" w:eastAsia="Times New Roman" w:hAnsi="Verdana" w:cs="Times New Roman"/>
          <w:sz w:val="19"/>
          <w:szCs w:val="19"/>
          <w:lang w:eastAsia="zh-CN"/>
        </w:rPr>
      </w:pP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  <w:r w:rsidRPr="000953FF">
        <w:rPr>
          <w:rFonts w:ascii="Verdana" w:eastAsia="Times New Roman" w:hAnsi="Verdana" w:cs="Times New Roman"/>
          <w:sz w:val="19"/>
          <w:szCs w:val="19"/>
          <w:lang w:eastAsia="zh-CN"/>
        </w:rPr>
        <w:tab/>
      </w:r>
    </w:p>
    <w:p w14:paraId="235F64DC" w14:textId="77777777" w:rsidR="001D72D7" w:rsidRPr="000953FF" w:rsidRDefault="00B44FB3" w:rsidP="00B44FB3">
      <w:pPr>
        <w:suppressAutoHyphens/>
        <w:spacing w:after="0" w:line="240" w:lineRule="atLeast"/>
        <w:jc w:val="center"/>
        <w:rPr>
          <w:rFonts w:ascii="Verdana" w:eastAsia="Times New Roman" w:hAnsi="Verdana" w:cs="Times New Roman"/>
          <w:b/>
          <w:sz w:val="19"/>
          <w:szCs w:val="19"/>
          <w:lang w:eastAsia="zh-CN"/>
        </w:rPr>
      </w:pPr>
      <w:r w:rsidRPr="000953FF">
        <w:rPr>
          <w:rFonts w:ascii="Verdana" w:eastAsia="Times New Roman" w:hAnsi="Verdana" w:cs="Times New Roman"/>
          <w:b/>
          <w:sz w:val="19"/>
          <w:szCs w:val="19"/>
          <w:lang w:eastAsia="zh-CN"/>
        </w:rPr>
        <w:t>INDIVIDUAZIONE “FATTORI ABILITANTI” DEGLI EVENTI CORRUTTIVI</w:t>
      </w:r>
    </w:p>
    <w:p w14:paraId="1DAD0DC9" w14:textId="77777777" w:rsidR="000B523A" w:rsidRPr="000953FF" w:rsidRDefault="000B523A" w:rsidP="000B523A">
      <w:pPr>
        <w:suppressAutoHyphens/>
        <w:spacing w:after="0" w:line="240" w:lineRule="atLeast"/>
        <w:jc w:val="center"/>
        <w:rPr>
          <w:rFonts w:ascii="Verdana" w:eastAsia="Times New Roman" w:hAnsi="Verdana" w:cs="Times New Roman"/>
          <w:b/>
          <w:sz w:val="19"/>
          <w:szCs w:val="19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3920"/>
        <w:gridCol w:w="1345"/>
        <w:gridCol w:w="7320"/>
      </w:tblGrid>
      <w:tr w:rsidR="00933969" w:rsidRPr="000953FF" w14:paraId="314D9818" w14:textId="77777777" w:rsidTr="00B97DD0">
        <w:tc>
          <w:tcPr>
            <w:tcW w:w="1353" w:type="dxa"/>
            <w:tcBorders>
              <w:top w:val="single" w:sz="4" w:space="0" w:color="221E1F"/>
              <w:left w:val="single" w:sz="4" w:space="0" w:color="221E1F"/>
              <w:bottom w:val="single" w:sz="4" w:space="0" w:color="auto"/>
              <w:right w:val="single" w:sz="4" w:space="0" w:color="221E1F"/>
            </w:tcBorders>
            <w:shd w:val="clear" w:color="auto" w:fill="FFFFFF"/>
            <w:vAlign w:val="center"/>
          </w:tcPr>
          <w:p w14:paraId="12F6A4E6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68" w:right="57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ID. MISURA</w:t>
            </w:r>
          </w:p>
          <w:p w14:paraId="1B20CCF8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68" w:right="57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(</w:t>
            </w:r>
            <w:proofErr w:type="spellStart"/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All</w:t>
            </w:r>
            <w:proofErr w:type="spellEnd"/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. 1 – colonna G)</w:t>
            </w: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auto"/>
            </w:tcBorders>
            <w:shd w:val="clear" w:color="auto" w:fill="FFFFFF"/>
            <w:vAlign w:val="bottom"/>
          </w:tcPr>
          <w:p w14:paraId="54640F86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  <w:p w14:paraId="1DB461D2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  <w:p w14:paraId="2C197C79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FATTORI ABILITANTI</w:t>
            </w:r>
          </w:p>
          <w:p w14:paraId="68C8F6DC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  <w:p w14:paraId="00B34C03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CCC1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6" w:right="57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Barrare con una x se si ritiene sussistente il fattore abilitante</w:t>
            </w: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</w:tcPr>
          <w:p w14:paraId="03F6F4C4" w14:textId="77777777" w:rsidR="00933969" w:rsidRPr="000953FF" w:rsidRDefault="00933969" w:rsidP="00B759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6" w:right="57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  <w:t>GIUDIZIO SINTETICO</w:t>
            </w:r>
          </w:p>
          <w:p w14:paraId="3418AA64" w14:textId="77777777" w:rsidR="00933969" w:rsidRPr="000953FF" w:rsidRDefault="00933969" w:rsidP="002C5F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6" w:right="57"/>
              <w:jc w:val="center"/>
              <w:rPr>
                <w:rFonts w:ascii="Verdana" w:eastAsia="Times New Roman" w:hAnsi="Verdana" w:cs="Times New Roman"/>
                <w:b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</w:tr>
      <w:tr w:rsidR="00933969" w:rsidRPr="000953FF" w14:paraId="6C985D32" w14:textId="77777777" w:rsidTr="00B97DD0"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9B6D" w14:textId="77777777" w:rsidR="00933969" w:rsidRPr="000953FF" w:rsidRDefault="00933969" w:rsidP="00BB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kern w:val="1"/>
                <w:sz w:val="19"/>
                <w:szCs w:val="19"/>
                <w:u w:val="single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b/>
                <w:i/>
                <w:color w:val="000000"/>
                <w:kern w:val="1"/>
                <w:sz w:val="19"/>
                <w:szCs w:val="19"/>
                <w:u w:val="single"/>
                <w:lang w:eastAsia="it-IT" w:bidi="hi-IN"/>
              </w:rPr>
              <w:t>indicare obbligatoriamente numero arabo corrispondente</w:t>
            </w:r>
          </w:p>
          <w:p w14:paraId="45E75BBF" w14:textId="77777777" w:rsidR="00933969" w:rsidRPr="000953FF" w:rsidRDefault="00933969" w:rsidP="00BB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  <w:p w14:paraId="57B77C3C" w14:textId="77777777" w:rsidR="00933969" w:rsidRPr="000953FF" w:rsidRDefault="00933969" w:rsidP="0033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___________</w:t>
            </w: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3525FF6F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Assenza/insufficienza di trasparenza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25E9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7"/>
              <w:jc w:val="both"/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5F4C144A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7"/>
              <w:jc w:val="both"/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  <w:p w14:paraId="04B34104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7"/>
              <w:jc w:val="both"/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  <w:p w14:paraId="6BD1D9AB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57"/>
              <w:jc w:val="both"/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</w:tr>
      <w:tr w:rsidR="00933969" w:rsidRPr="000953FF" w14:paraId="2760869E" w14:textId="77777777" w:rsidTr="00B97DD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2C8B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1B85A132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Attività di controllo/verifica</w:t>
            </w:r>
            <w:r w:rsidR="0084669B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preventiva/</w:t>
            </w:r>
            <w:r w:rsidR="0084669B"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ex post</w:t>
            </w: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 xml:space="preserve"> </w:t>
            </w: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assente/insufficiente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C6B0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572451BC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52DA3415" w14:textId="77777777" w:rsidTr="00B97DD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35C3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0B3055EE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Rilevanza esterna del procedimento: Elevata influenza di interessi esterni sia sociali che economici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4800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0DA01F37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426B22CA" w14:textId="77777777" w:rsidTr="00B97DD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CDED3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40CD0C49" w14:textId="77777777" w:rsidR="00933969" w:rsidRPr="000953FF" w:rsidRDefault="00933969" w:rsidP="0050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Competenze non ben definite</w:t>
            </w:r>
            <w:r w:rsidR="0084669B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- assenza di criteri</w:t>
            </w:r>
            <w:r w:rsidR="005072E2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preordinati e/o </w:t>
            </w:r>
            <w:r w:rsidR="0084669B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regole - </w:t>
            </w: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Grado di standardizzazione e codificazione   delle attività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18E0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2F900060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7C6AE088" w14:textId="77777777" w:rsidTr="00B97DD0">
        <w:trPr>
          <w:trHeight w:val="659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76E7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7C383562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Mancanza di Chiarezza e attualità degli atti regolamentari e organizzativi interni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4FD05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244B6B94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2C5F56" w:rsidRPr="000953FF" w14:paraId="40F86B48" w14:textId="77777777" w:rsidTr="00B97DD0">
        <w:trPr>
          <w:trHeight w:val="542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C475" w14:textId="77777777" w:rsidR="002C5F56" w:rsidRPr="000953FF" w:rsidRDefault="002C5F56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22618A82" w14:textId="77777777" w:rsidR="002C5F56" w:rsidRPr="000953FF" w:rsidRDefault="00B97DD0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Complessità della normativa applicabile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5414" w14:textId="77777777" w:rsidR="002C5F56" w:rsidRPr="000953FF" w:rsidRDefault="002C5F56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34A5353E" w14:textId="77777777" w:rsidR="002C5F56" w:rsidRPr="000953FF" w:rsidRDefault="00B97DD0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FC7254" w:rsidRPr="000953FF" w14:paraId="4FA2BA8B" w14:textId="77777777" w:rsidTr="00B97DD0">
        <w:trPr>
          <w:trHeight w:val="562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F45" w14:textId="77777777" w:rsidR="00FC7254" w:rsidRPr="000953FF" w:rsidRDefault="00FC7254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0BFFDB8C" w14:textId="68F1B44B" w:rsidR="00FC7254" w:rsidRPr="000953FF" w:rsidRDefault="00FC7254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Mancato rispetto della normativa statale/regionale</w:t>
            </w:r>
            <w:r w:rsidR="009156F5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e regolamentare interna applicabile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3889" w14:textId="77777777" w:rsidR="00FC7254" w:rsidRPr="000953FF" w:rsidRDefault="00FC7254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2B03E631" w14:textId="1FAF015E" w:rsidR="00FC7254" w:rsidRPr="000953FF" w:rsidRDefault="00FC7254" w:rsidP="00FC7254">
            <w:pPr>
              <w:tabs>
                <w:tab w:val="left" w:pos="975"/>
              </w:tabs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ab/>
            </w:r>
          </w:p>
        </w:tc>
      </w:tr>
      <w:tr w:rsidR="00933969" w:rsidRPr="000953FF" w14:paraId="4786BDB6" w14:textId="77777777" w:rsidTr="00B97DD0">
        <w:trPr>
          <w:trHeight w:val="562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883E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34CF7942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Elevato Grado di Esternalizzazione del  processo o</w:t>
            </w:r>
            <w:r w:rsidR="002C5F56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di</w:t>
            </w: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fasi di esso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9E70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39A9F0C6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0DCC9C78" w14:textId="77777777" w:rsidTr="0084669B">
        <w:trPr>
          <w:trHeight w:val="698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CA88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12EE8DF7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Scarsa responsabilizzazione interna dei dipendenti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E5F0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0A2A24A6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851C8A" w:rsidRPr="000953FF" w14:paraId="69358611" w14:textId="77777777" w:rsidTr="00B97DD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68DA" w14:textId="77777777" w:rsidR="00851C8A" w:rsidRPr="000953FF" w:rsidRDefault="00851C8A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4E127B6A" w14:textId="77777777" w:rsidR="00851C8A" w:rsidRPr="000953FF" w:rsidRDefault="00851C8A" w:rsidP="00FF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Mancanza di procedure informatizzate</w:t>
            </w:r>
            <w:r w:rsidR="0084669B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– mancanza di procedure omogenee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740A" w14:textId="77777777" w:rsidR="00851C8A" w:rsidRPr="000953FF" w:rsidRDefault="00851C8A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70117800" w14:textId="77777777" w:rsidR="00851C8A" w:rsidRPr="000953FF" w:rsidRDefault="00851C8A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5072E2" w:rsidRPr="000953FF" w14:paraId="5D0DA54E" w14:textId="77777777" w:rsidTr="00B97DD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533EF" w14:textId="77777777" w:rsidR="005072E2" w:rsidRPr="000953FF" w:rsidRDefault="005072E2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56863808" w14:textId="77777777" w:rsidR="005072E2" w:rsidRPr="000953FF" w:rsidRDefault="005072E2" w:rsidP="00FF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Procedure amministrative/contabili/informatiche e prassi aziendali non adeguate/efficaci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6D6F" w14:textId="77777777" w:rsidR="005072E2" w:rsidRPr="000953FF" w:rsidRDefault="005072E2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5513360E" w14:textId="77777777" w:rsidR="005072E2" w:rsidRPr="000953FF" w:rsidRDefault="005072E2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</w:tr>
      <w:tr w:rsidR="00933969" w:rsidRPr="000953FF" w14:paraId="025CACDD" w14:textId="77777777" w:rsidTr="00B97DD0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B8297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561DD237" w14:textId="77777777" w:rsidR="00933969" w:rsidRPr="000953FF" w:rsidRDefault="00933969" w:rsidP="00FF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Assenza/insufficienza di collaborazione dei dipendenti</w:t>
            </w:r>
            <w:r w:rsidR="002C5F56"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 xml:space="preserve"> della struttura alla mappatura dei processi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6F75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64BEAF6C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0F8BEE13" w14:textId="77777777" w:rsidTr="00B97DD0">
        <w:trPr>
          <w:trHeight w:val="47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0399B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5E8EC64D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Eccessivo grado di accentramento delle funzioni gestionali – monopolio competenze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A6465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74CA4A29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54686FC4" w14:textId="77777777" w:rsidTr="00B97DD0">
        <w:trPr>
          <w:trHeight w:val="577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90707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54CF4CE4" w14:textId="77777777" w:rsidR="00933969" w:rsidRPr="000953FF" w:rsidRDefault="00933969" w:rsidP="002C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Eccessiva discrezionalità del procedimento (ruolo del decisore interno)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5AD42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4D947C11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2C5F56" w:rsidRPr="000953FF" w14:paraId="3C8A5B42" w14:textId="77777777" w:rsidTr="00B97DD0">
        <w:trPr>
          <w:trHeight w:val="641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9901" w14:textId="77777777" w:rsidR="002C5F56" w:rsidRPr="000953FF" w:rsidRDefault="002C5F56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70BE9D4B" w14:textId="77777777" w:rsidR="002C5F56" w:rsidRPr="000953FF" w:rsidRDefault="002C5F56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Mancanza di rotazione del personale per carenza di organico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2F98" w14:textId="77777777" w:rsidR="002C5F56" w:rsidRPr="000953FF" w:rsidRDefault="002C5F56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6B1FC30B" w14:textId="77777777" w:rsidR="002C5F56" w:rsidRPr="000953FF" w:rsidRDefault="002C5F56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197A9B58" w14:textId="77777777" w:rsidTr="00B97DD0">
        <w:trPr>
          <w:trHeight w:val="161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BB9F0" w14:textId="77777777" w:rsidR="00933969" w:rsidRPr="000953FF" w:rsidRDefault="00933969" w:rsidP="00F9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3939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auto"/>
            </w:tcBorders>
            <w:shd w:val="clear" w:color="auto" w:fill="FFFFFF"/>
          </w:tcPr>
          <w:p w14:paraId="6278E030" w14:textId="77777777" w:rsidR="00933969" w:rsidRPr="000953FF" w:rsidRDefault="00933969" w:rsidP="0093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color w:val="000000"/>
                <w:kern w:val="1"/>
                <w:sz w:val="19"/>
                <w:szCs w:val="19"/>
                <w:lang w:eastAsia="it-IT" w:bidi="hi-IN"/>
              </w:rPr>
              <w:t>Mancata segnalazione da parte dei dipendenti/dirigenti di situazioni di conflitto di interessi – scarsa diffusione del Codice di Comportamento aziendale – inadeguata diffusione della cultura della legalità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D6D86" w14:textId="77777777" w:rsidR="00933969" w:rsidRPr="000953FF" w:rsidRDefault="00933969" w:rsidP="00F9671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221E1F"/>
              <w:left w:val="single" w:sz="4" w:space="0" w:color="auto"/>
              <w:bottom w:val="single" w:sz="4" w:space="0" w:color="221E1F"/>
              <w:right w:val="single" w:sz="4" w:space="0" w:color="221E1F"/>
            </w:tcBorders>
            <w:shd w:val="clear" w:color="auto" w:fill="FFFFFF"/>
          </w:tcPr>
          <w:p w14:paraId="199F9096" w14:textId="77777777" w:rsidR="00933969" w:rsidRPr="000953FF" w:rsidRDefault="00933969" w:rsidP="00F96712">
            <w:pPr>
              <w:rPr>
                <w:rFonts w:ascii="Verdana" w:hAnsi="Verdana"/>
                <w:sz w:val="19"/>
                <w:szCs w:val="19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</w:tc>
      </w:tr>
      <w:tr w:rsidR="00933969" w:rsidRPr="000953FF" w14:paraId="21D65476" w14:textId="77777777" w:rsidTr="00B97DD0">
        <w:trPr>
          <w:trHeight w:val="1368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344E" w14:textId="77777777" w:rsidR="00933969" w:rsidRPr="000953FF" w:rsidRDefault="00933969" w:rsidP="00C92EB2">
            <w:pPr>
              <w:rPr>
                <w:rFonts w:ascii="Verdana" w:eastAsia="Times New Roman" w:hAnsi="Verdana" w:cs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47106" w14:textId="77777777" w:rsidR="00933969" w:rsidRPr="000953FF" w:rsidRDefault="00933969" w:rsidP="002C5F56">
            <w:pPr>
              <w:tabs>
                <w:tab w:val="right" w:pos="3929"/>
              </w:tabs>
              <w:rPr>
                <w:rFonts w:ascii="Verdana" w:eastAsia="Times New Roman" w:hAnsi="Verdana" w:cs="Times New Roman"/>
                <w:sz w:val="19"/>
                <w:szCs w:val="19"/>
                <w:lang w:eastAsia="zh-CN"/>
              </w:rPr>
            </w:pPr>
            <w:r w:rsidRPr="000953FF">
              <w:rPr>
                <w:rFonts w:ascii="Verdana" w:eastAsia="Times New Roman" w:hAnsi="Verdana" w:cs="Times New Roman"/>
                <w:b/>
                <w:sz w:val="19"/>
                <w:szCs w:val="19"/>
                <w:lang w:eastAsia="zh-CN"/>
              </w:rPr>
              <w:t>Altro</w:t>
            </w:r>
            <w:r w:rsidR="00B97DD0" w:rsidRPr="000953FF">
              <w:rPr>
                <w:rFonts w:ascii="Verdana" w:eastAsia="Times New Roman" w:hAnsi="Verdana" w:cs="Times New Roman"/>
                <w:b/>
                <w:sz w:val="19"/>
                <w:szCs w:val="19"/>
                <w:lang w:eastAsia="zh-CN"/>
              </w:rPr>
              <w:t xml:space="preserve"> (ulteriori fattori abilitanti proposti)</w:t>
            </w:r>
            <w:r w:rsidR="002C5F56" w:rsidRPr="000953FF">
              <w:rPr>
                <w:rFonts w:ascii="Verdana" w:eastAsia="Times New Roman" w:hAnsi="Verdana" w:cs="Times New Roman"/>
                <w:b/>
                <w:sz w:val="19"/>
                <w:szCs w:val="19"/>
                <w:lang w:eastAsia="zh-CN"/>
              </w:rP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C11C" w14:textId="77777777" w:rsidR="00933969" w:rsidRPr="000953FF" w:rsidRDefault="00933969" w:rsidP="00C92EB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CFF0E" w14:textId="77777777" w:rsidR="00933969" w:rsidRPr="000953FF" w:rsidRDefault="00933969" w:rsidP="00C92EB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Eventuali annotazioni:</w:t>
            </w:r>
          </w:p>
          <w:p w14:paraId="7791722E" w14:textId="77777777" w:rsidR="00933969" w:rsidRPr="000953FF" w:rsidRDefault="00933969" w:rsidP="00C92EB2">
            <w:pPr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</w:pP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(</w:t>
            </w:r>
            <w:r w:rsidRPr="000953FF">
              <w:rPr>
                <w:rFonts w:ascii="Verdana" w:eastAsia="Times New Roman" w:hAnsi="Verdana" w:cs="Times New Roman"/>
                <w:b/>
                <w:i/>
                <w:color w:val="000000"/>
                <w:kern w:val="1"/>
                <w:sz w:val="19"/>
                <w:szCs w:val="19"/>
                <w:u w:val="single"/>
                <w:lang w:eastAsia="it-IT" w:bidi="hi-IN"/>
              </w:rPr>
              <w:t>N.B. campo a compilazione obbligatoria, in presenza di proposta</w:t>
            </w:r>
            <w:r w:rsidRPr="000953FF">
              <w:rPr>
                <w:rFonts w:ascii="Verdana" w:eastAsia="Times New Roman" w:hAnsi="Verdana" w:cs="Times New Roman"/>
                <w:i/>
                <w:color w:val="000000"/>
                <w:kern w:val="1"/>
                <w:sz w:val="19"/>
                <w:szCs w:val="19"/>
                <w:lang w:eastAsia="it-IT" w:bidi="hi-IN"/>
              </w:rPr>
              <w:t>)</w:t>
            </w:r>
          </w:p>
        </w:tc>
      </w:tr>
    </w:tbl>
    <w:p w14:paraId="724EC061" w14:textId="027F0616" w:rsidR="00B44FB3" w:rsidRPr="000953FF" w:rsidRDefault="00594F06" w:rsidP="000953F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zh-CN"/>
        </w:rPr>
      </w:pPr>
      <w:r w:rsidRPr="000953FF">
        <w:rPr>
          <w:rFonts w:ascii="Verdana" w:hAnsi="Verdana" w:cs="Times New Roman"/>
          <w:sz w:val="19"/>
          <w:szCs w:val="19"/>
        </w:rPr>
        <w:t>N.B</w:t>
      </w:r>
      <w:r w:rsidR="00B44FB3" w:rsidRPr="000953FF">
        <w:rPr>
          <w:rFonts w:ascii="Verdana" w:hAnsi="Verdana" w:cs="Times New Roman"/>
          <w:sz w:val="19"/>
          <w:szCs w:val="19"/>
        </w:rPr>
        <w:t xml:space="preserve">. Si rappresenta che i fattori </w:t>
      </w:r>
      <w:r w:rsidRPr="000953FF">
        <w:rPr>
          <w:rFonts w:ascii="Verdana" w:hAnsi="Verdana" w:cs="Times New Roman"/>
          <w:sz w:val="19"/>
          <w:szCs w:val="19"/>
        </w:rPr>
        <w:t xml:space="preserve">riportati nella griglia non costituiscono </w:t>
      </w:r>
      <w:r w:rsidR="0073494E" w:rsidRPr="000953FF">
        <w:rPr>
          <w:rFonts w:ascii="Verdana" w:hAnsi="Verdana" w:cs="Times New Roman"/>
          <w:sz w:val="19"/>
          <w:szCs w:val="19"/>
        </w:rPr>
        <w:t>elementi indefettibili, assolvendo la semplificazione al mero scopo di garantire un ausilio metodologico alle attività valutative richieste alle SS.VV. che potranno, dunque, anche avvalersi di</w:t>
      </w:r>
      <w:r w:rsidR="00F90A30" w:rsidRPr="000953FF">
        <w:rPr>
          <w:rFonts w:ascii="Verdana" w:hAnsi="Verdana" w:cs="Times New Roman"/>
          <w:sz w:val="19"/>
          <w:szCs w:val="19"/>
        </w:rPr>
        <w:t xml:space="preserve"> ulteriori</w:t>
      </w:r>
      <w:r w:rsidR="0073494E" w:rsidRPr="000953FF">
        <w:rPr>
          <w:rFonts w:ascii="Verdana" w:hAnsi="Verdana" w:cs="Times New Roman"/>
          <w:sz w:val="19"/>
          <w:szCs w:val="19"/>
        </w:rPr>
        <w:t xml:space="preserve"> </w:t>
      </w:r>
      <w:r w:rsidR="00707007" w:rsidRPr="000953FF">
        <w:rPr>
          <w:rFonts w:ascii="Verdana" w:hAnsi="Verdana" w:cs="Times New Roman"/>
          <w:sz w:val="19"/>
          <w:szCs w:val="19"/>
        </w:rPr>
        <w:t>eventi abilitativi</w:t>
      </w:r>
      <w:r w:rsidR="0073494E" w:rsidRPr="000953FF">
        <w:rPr>
          <w:rFonts w:ascii="Verdana" w:hAnsi="Verdana" w:cs="Times New Roman"/>
          <w:sz w:val="19"/>
          <w:szCs w:val="19"/>
        </w:rPr>
        <w:t>, avendo cura di menzionarli all’atto dell’autovalutazione,</w:t>
      </w:r>
      <w:r w:rsidR="00B97DD0" w:rsidRPr="000953FF">
        <w:rPr>
          <w:rFonts w:ascii="Verdana" w:hAnsi="Verdana" w:cs="Times New Roman"/>
          <w:sz w:val="19"/>
          <w:szCs w:val="19"/>
        </w:rPr>
        <w:t xml:space="preserve"> nella riga “</w:t>
      </w:r>
      <w:r w:rsidR="000953FF">
        <w:rPr>
          <w:rFonts w:ascii="Verdana" w:hAnsi="Verdana" w:cs="Times New Roman"/>
          <w:b/>
          <w:sz w:val="19"/>
          <w:szCs w:val="19"/>
        </w:rPr>
        <w:t>A</w:t>
      </w:r>
      <w:bookmarkStart w:id="0" w:name="_GoBack"/>
      <w:bookmarkEnd w:id="0"/>
      <w:r w:rsidR="00B97DD0" w:rsidRPr="000953FF">
        <w:rPr>
          <w:rFonts w:ascii="Verdana" w:hAnsi="Verdana" w:cs="Times New Roman"/>
          <w:b/>
          <w:sz w:val="19"/>
          <w:szCs w:val="19"/>
        </w:rPr>
        <w:t>ltro</w:t>
      </w:r>
      <w:r w:rsidR="00B97DD0" w:rsidRPr="000953FF">
        <w:rPr>
          <w:rFonts w:ascii="Verdana" w:hAnsi="Verdana" w:cs="Times New Roman"/>
          <w:sz w:val="19"/>
          <w:szCs w:val="19"/>
        </w:rPr>
        <w:t xml:space="preserve">”, </w:t>
      </w:r>
      <w:r w:rsidR="0073494E" w:rsidRPr="000953FF">
        <w:rPr>
          <w:rFonts w:ascii="Verdana" w:hAnsi="Verdana" w:cs="Times New Roman"/>
          <w:sz w:val="19"/>
          <w:szCs w:val="19"/>
        </w:rPr>
        <w:t>indicandone</w:t>
      </w:r>
      <w:r w:rsidR="00D4521B" w:rsidRPr="000953FF">
        <w:rPr>
          <w:rFonts w:ascii="Verdana" w:hAnsi="Verdana" w:cs="Times New Roman"/>
          <w:sz w:val="19"/>
          <w:szCs w:val="19"/>
        </w:rPr>
        <w:t xml:space="preserve"> </w:t>
      </w:r>
      <w:r w:rsidR="0073494E" w:rsidRPr="000953FF">
        <w:rPr>
          <w:rFonts w:ascii="Verdana" w:hAnsi="Verdana" w:cs="Times New Roman"/>
          <w:sz w:val="19"/>
          <w:szCs w:val="19"/>
        </w:rPr>
        <w:t>i motivi</w:t>
      </w:r>
      <w:r w:rsidRPr="000953FF">
        <w:rPr>
          <w:rFonts w:ascii="Verdana" w:hAnsi="Verdana" w:cs="Times New Roman"/>
          <w:sz w:val="19"/>
          <w:szCs w:val="19"/>
        </w:rPr>
        <w:t xml:space="preserve">. </w:t>
      </w:r>
    </w:p>
    <w:sectPr w:rsidR="00B44FB3" w:rsidRPr="000953FF" w:rsidSect="00B759D0">
      <w:headerReference w:type="default" r:id="rId8"/>
      <w:footerReference w:type="default" r:id="rId9"/>
      <w:pgSz w:w="16838" w:h="11906" w:orient="landscape"/>
      <w:pgMar w:top="567" w:right="1134" w:bottom="567" w:left="1134" w:header="0" w:footer="709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C7F2" w14:textId="77777777" w:rsidR="00C75162" w:rsidRDefault="00C75162" w:rsidP="00412FF1">
      <w:pPr>
        <w:spacing w:after="0" w:line="240" w:lineRule="auto"/>
      </w:pPr>
      <w:r>
        <w:separator/>
      </w:r>
    </w:p>
  </w:endnote>
  <w:endnote w:type="continuationSeparator" w:id="0">
    <w:p w14:paraId="53DE605E" w14:textId="77777777" w:rsidR="00C75162" w:rsidRDefault="00C75162" w:rsidP="0041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38D2" w14:textId="0A4B06A1" w:rsidR="005974DF" w:rsidRDefault="00336023">
    <w:pPr>
      <w:pStyle w:val="Pidipagina"/>
      <w:jc w:val="right"/>
    </w:pPr>
    <w:r>
      <w:fldChar w:fldCharType="begin"/>
    </w:r>
    <w:r w:rsidR="00E27D66">
      <w:instrText>PAGE   \* MERGEFORMAT</w:instrText>
    </w:r>
    <w:r>
      <w:fldChar w:fldCharType="separate"/>
    </w:r>
    <w:r w:rsidR="000953FF">
      <w:rPr>
        <w:noProof/>
      </w:rPr>
      <w:t>- 2 -</w:t>
    </w:r>
    <w:r>
      <w:fldChar w:fldCharType="end"/>
    </w:r>
  </w:p>
  <w:p w14:paraId="49ED83C4" w14:textId="77777777" w:rsidR="00434D6D" w:rsidRDefault="00C751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678F" w14:textId="77777777" w:rsidR="00C75162" w:rsidRDefault="00C75162" w:rsidP="00412FF1">
      <w:pPr>
        <w:spacing w:after="0" w:line="240" w:lineRule="auto"/>
      </w:pPr>
      <w:r>
        <w:separator/>
      </w:r>
    </w:p>
  </w:footnote>
  <w:footnote w:type="continuationSeparator" w:id="0">
    <w:p w14:paraId="790BD7DF" w14:textId="77777777" w:rsidR="00C75162" w:rsidRDefault="00C75162" w:rsidP="0041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074E" w14:textId="77777777" w:rsidR="00434D6D" w:rsidRDefault="00C75162">
    <w:pPr>
      <w:rPr>
        <w:b/>
        <w:noProof/>
        <w:sz w:val="16"/>
        <w:szCs w:val="16"/>
        <w:lang w:eastAsia="it-IT"/>
      </w:rPr>
    </w:pPr>
  </w:p>
  <w:p w14:paraId="2F601780" w14:textId="77777777" w:rsidR="004A1CFB" w:rsidRPr="00B759D0" w:rsidRDefault="00464C1C">
    <w:pPr>
      <w:rPr>
        <w:b/>
        <w:sz w:val="16"/>
        <w:szCs w:val="16"/>
        <w:lang w:val="en-US"/>
      </w:rPr>
    </w:pPr>
    <w:r>
      <w:rPr>
        <w:b/>
        <w:noProof/>
        <w:sz w:val="16"/>
        <w:szCs w:val="16"/>
        <w:lang w:eastAsia="it-IT"/>
      </w:rPr>
      <w:drawing>
        <wp:inline distT="0" distB="0" distL="0" distR="0" wp14:anchorId="2361B681" wp14:editId="76A3437C">
          <wp:extent cx="1569638" cy="62345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hio logo ASL Bari 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745" cy="65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8B1"/>
    <w:multiLevelType w:val="hybridMultilevel"/>
    <w:tmpl w:val="93800FA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4"/>
    <w:rsid w:val="00025D1B"/>
    <w:rsid w:val="00031C83"/>
    <w:rsid w:val="000420AF"/>
    <w:rsid w:val="000803FE"/>
    <w:rsid w:val="000953FF"/>
    <w:rsid w:val="000B523A"/>
    <w:rsid w:val="00195C8C"/>
    <w:rsid w:val="001D72D7"/>
    <w:rsid w:val="00217B5D"/>
    <w:rsid w:val="00223DD9"/>
    <w:rsid w:val="002242B9"/>
    <w:rsid w:val="002C5F56"/>
    <w:rsid w:val="002F7DB0"/>
    <w:rsid w:val="00306E99"/>
    <w:rsid w:val="003237B5"/>
    <w:rsid w:val="00331D3B"/>
    <w:rsid w:val="00336023"/>
    <w:rsid w:val="00382CCD"/>
    <w:rsid w:val="00384E2E"/>
    <w:rsid w:val="003B26B4"/>
    <w:rsid w:val="003B2D87"/>
    <w:rsid w:val="003B6C20"/>
    <w:rsid w:val="003F7628"/>
    <w:rsid w:val="00406C6F"/>
    <w:rsid w:val="00412FF1"/>
    <w:rsid w:val="00414219"/>
    <w:rsid w:val="004467BE"/>
    <w:rsid w:val="00464C1C"/>
    <w:rsid w:val="00464F31"/>
    <w:rsid w:val="004A1CFB"/>
    <w:rsid w:val="004A6246"/>
    <w:rsid w:val="004C01C7"/>
    <w:rsid w:val="004D562C"/>
    <w:rsid w:val="005072E2"/>
    <w:rsid w:val="00517000"/>
    <w:rsid w:val="005639A4"/>
    <w:rsid w:val="00594070"/>
    <w:rsid w:val="00594F06"/>
    <w:rsid w:val="00612968"/>
    <w:rsid w:val="0064459A"/>
    <w:rsid w:val="00653920"/>
    <w:rsid w:val="006A2697"/>
    <w:rsid w:val="006D222F"/>
    <w:rsid w:val="00707007"/>
    <w:rsid w:val="0073494E"/>
    <w:rsid w:val="0082445A"/>
    <w:rsid w:val="00825944"/>
    <w:rsid w:val="00840B94"/>
    <w:rsid w:val="0084669B"/>
    <w:rsid w:val="00851C8A"/>
    <w:rsid w:val="0085332E"/>
    <w:rsid w:val="00862D1C"/>
    <w:rsid w:val="008C7C2E"/>
    <w:rsid w:val="008E04F6"/>
    <w:rsid w:val="008E5340"/>
    <w:rsid w:val="009156F5"/>
    <w:rsid w:val="00933969"/>
    <w:rsid w:val="00955819"/>
    <w:rsid w:val="0096522A"/>
    <w:rsid w:val="009923F4"/>
    <w:rsid w:val="009923FD"/>
    <w:rsid w:val="00A001B6"/>
    <w:rsid w:val="00A142C4"/>
    <w:rsid w:val="00A279CC"/>
    <w:rsid w:val="00AD62FF"/>
    <w:rsid w:val="00AE0512"/>
    <w:rsid w:val="00AE1A1D"/>
    <w:rsid w:val="00B27485"/>
    <w:rsid w:val="00B44FB3"/>
    <w:rsid w:val="00B759D0"/>
    <w:rsid w:val="00B9213C"/>
    <w:rsid w:val="00B97DD0"/>
    <w:rsid w:val="00BB3725"/>
    <w:rsid w:val="00C01743"/>
    <w:rsid w:val="00C658D0"/>
    <w:rsid w:val="00C75162"/>
    <w:rsid w:val="00C92EB2"/>
    <w:rsid w:val="00CC647A"/>
    <w:rsid w:val="00D4521B"/>
    <w:rsid w:val="00D8019D"/>
    <w:rsid w:val="00D80EE7"/>
    <w:rsid w:val="00D949D7"/>
    <w:rsid w:val="00D957CB"/>
    <w:rsid w:val="00DB3E2C"/>
    <w:rsid w:val="00E27D66"/>
    <w:rsid w:val="00E42105"/>
    <w:rsid w:val="00F17DFD"/>
    <w:rsid w:val="00F90A30"/>
    <w:rsid w:val="00F96712"/>
    <w:rsid w:val="00FA5058"/>
    <w:rsid w:val="00FC7254"/>
    <w:rsid w:val="00FD74B3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C9BA"/>
  <w15:docId w15:val="{E4124233-9789-4922-9C95-FBD2E00D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72D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D7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1D72D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467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4F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4F0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1F3D-66D9-4465-B070-204D4696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D'Avanzo</dc:creator>
  <cp:lastModifiedBy>cto4193111</cp:lastModifiedBy>
  <cp:revision>3</cp:revision>
  <cp:lastPrinted>2021-09-15T12:10:00Z</cp:lastPrinted>
  <dcterms:created xsi:type="dcterms:W3CDTF">2021-09-23T15:32:00Z</dcterms:created>
  <dcterms:modified xsi:type="dcterms:W3CDTF">2021-09-27T08:40:00Z</dcterms:modified>
</cp:coreProperties>
</file>