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6B" w:rsidRPr="001C2FD8" w:rsidRDefault="004B43D9" w:rsidP="00BC44F0">
      <w:pPr>
        <w:tabs>
          <w:tab w:val="left" w:pos="5103"/>
        </w:tabs>
        <w:jc w:val="both"/>
        <w:rPr>
          <w:rFonts w:ascii="Calibri" w:hAnsi="Calibri" w:cs="Calibri"/>
          <w:spacing w:val="2"/>
          <w:sz w:val="16"/>
          <w:szCs w:val="16"/>
        </w:rPr>
      </w:pPr>
      <w:r w:rsidRPr="001C2FD8">
        <w:rPr>
          <w:rFonts w:ascii="Calibri" w:hAnsi="Calibri" w:cs="Calibri"/>
          <w:b/>
          <w:spacing w:val="2"/>
          <w:sz w:val="16"/>
          <w:szCs w:val="16"/>
        </w:rPr>
        <w:t>BARI</w:t>
      </w:r>
      <w:r w:rsidR="00D61D6B" w:rsidRPr="001C2FD8">
        <w:rPr>
          <w:rFonts w:ascii="Calibri" w:hAnsi="Calibri" w:cs="Calibri"/>
          <w:b/>
          <w:spacing w:val="2"/>
          <w:sz w:val="16"/>
          <w:szCs w:val="16"/>
        </w:rPr>
        <w:t xml:space="preserve">, </w:t>
      </w:r>
      <w:r w:rsidR="00BE5172">
        <w:rPr>
          <w:rFonts w:ascii="Calibri" w:hAnsi="Calibri" w:cs="Calibri"/>
          <w:b/>
          <w:spacing w:val="2"/>
          <w:sz w:val="16"/>
          <w:szCs w:val="16"/>
        </w:rPr>
        <w:t>04/01/2017</w:t>
      </w:r>
    </w:p>
    <w:p w:rsidR="00BE5172" w:rsidRPr="009C37B7" w:rsidRDefault="00BE5172" w:rsidP="00BE5172">
      <w:pPr>
        <w:pStyle w:val="NormaleWeb"/>
        <w:contextualSpacing/>
        <w:jc w:val="center"/>
        <w:rPr>
          <w:rFonts w:asciiTheme="minorHAnsi" w:eastAsia="Calibri" w:hAnsiTheme="minorHAnsi" w:cs="Verdana"/>
          <w:b/>
          <w:color w:val="0000FF"/>
          <w:sz w:val="36"/>
          <w:szCs w:val="36"/>
          <w:u w:val="single"/>
        </w:rPr>
      </w:pPr>
      <w:r w:rsidRPr="009C37B7">
        <w:rPr>
          <w:rFonts w:asciiTheme="minorHAnsi" w:eastAsia="Calibri" w:hAnsiTheme="minorHAnsi" w:cs="Verdana"/>
          <w:b/>
          <w:color w:val="0000FF"/>
          <w:sz w:val="36"/>
          <w:szCs w:val="36"/>
          <w:u w:val="single"/>
        </w:rPr>
        <w:t>MENINGITE MENINGOCOCCICA:</w:t>
      </w:r>
    </w:p>
    <w:p w:rsidR="00BE5172" w:rsidRPr="009C37B7" w:rsidRDefault="00BE5172" w:rsidP="00BE5172">
      <w:pPr>
        <w:pStyle w:val="NormaleWeb"/>
        <w:contextualSpacing/>
        <w:jc w:val="center"/>
        <w:rPr>
          <w:rFonts w:asciiTheme="minorHAnsi" w:eastAsia="Calibri" w:hAnsiTheme="minorHAnsi" w:cs="Verdana"/>
          <w:b/>
          <w:color w:val="0000FF"/>
          <w:sz w:val="36"/>
          <w:szCs w:val="36"/>
          <w:u w:val="single"/>
        </w:rPr>
      </w:pPr>
      <w:r w:rsidRPr="009C37B7">
        <w:rPr>
          <w:rFonts w:asciiTheme="minorHAnsi" w:eastAsia="Calibri" w:hAnsiTheme="minorHAnsi" w:cs="Verdana"/>
          <w:b/>
          <w:color w:val="0000FF"/>
          <w:sz w:val="36"/>
          <w:szCs w:val="36"/>
          <w:u w:val="single"/>
        </w:rPr>
        <w:t>NESSUNA EMERGENZA SANITARIA IN PUGLIA</w:t>
      </w:r>
      <w:r w:rsidR="005D15A3">
        <w:rPr>
          <w:rFonts w:asciiTheme="minorHAnsi" w:eastAsia="Calibri" w:hAnsiTheme="minorHAnsi" w:cs="Verdana"/>
          <w:b/>
          <w:color w:val="0000FF"/>
          <w:sz w:val="36"/>
          <w:szCs w:val="36"/>
          <w:u w:val="single"/>
        </w:rPr>
        <w:t>!</w:t>
      </w:r>
      <w:bookmarkStart w:id="0" w:name="_GoBack"/>
      <w:bookmarkEnd w:id="0"/>
    </w:p>
    <w:p w:rsidR="00BE5172" w:rsidRDefault="00BE5172" w:rsidP="00E90E2E">
      <w:pPr>
        <w:pStyle w:val="NormaleWeb"/>
        <w:contextualSpacing/>
        <w:jc w:val="both"/>
        <w:rPr>
          <w:rFonts w:asciiTheme="minorHAnsi" w:eastAsia="Calibri" w:hAnsiTheme="minorHAnsi" w:cs="Verdana"/>
          <w:sz w:val="22"/>
          <w:szCs w:val="22"/>
        </w:rPr>
      </w:pPr>
    </w:p>
    <w:p w:rsidR="00455687" w:rsidRPr="00BE5172" w:rsidRDefault="00455687" w:rsidP="00E90E2E">
      <w:pPr>
        <w:pStyle w:val="NormaleWeb"/>
        <w:contextualSpacing/>
        <w:jc w:val="both"/>
        <w:rPr>
          <w:rFonts w:asciiTheme="minorHAnsi" w:eastAsia="Calibri" w:hAnsiTheme="minorHAnsi" w:cs="Verdana"/>
          <w:color w:val="000000" w:themeColor="text1"/>
          <w:sz w:val="22"/>
          <w:szCs w:val="22"/>
        </w:rPr>
      </w:pPr>
      <w:r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Nel 2016, in Italia, l’incidenza dei casi di Meningite da meningococco è in lieve aumento rispetto al triennio 2012-2014, ma in diminuzione rispetto al 2015.</w:t>
      </w:r>
    </w:p>
    <w:p w:rsidR="00455687" w:rsidRPr="00BE5172" w:rsidRDefault="00455687" w:rsidP="00E90E2E">
      <w:pPr>
        <w:pStyle w:val="NormaleWeb"/>
        <w:contextualSpacing/>
        <w:jc w:val="both"/>
        <w:rPr>
          <w:rFonts w:asciiTheme="minorHAnsi" w:eastAsia="Calibri" w:hAnsiTheme="minorHAnsi" w:cs="Verdana"/>
          <w:color w:val="000000" w:themeColor="text1"/>
          <w:sz w:val="22"/>
          <w:szCs w:val="22"/>
        </w:rPr>
      </w:pPr>
      <w:r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Ciò è dovuto alla presenza in Toscana di una trasmissione più elevata che nel resto d’Italia, dove la situazione è costante.</w:t>
      </w:r>
    </w:p>
    <w:p w:rsidR="00455687" w:rsidRPr="00BE5172" w:rsidRDefault="00455687" w:rsidP="00E90E2E">
      <w:pPr>
        <w:pStyle w:val="NormaleWeb"/>
        <w:contextualSpacing/>
        <w:jc w:val="both"/>
        <w:rPr>
          <w:rFonts w:asciiTheme="minorHAnsi" w:eastAsia="Calibri" w:hAnsiTheme="minorHAnsi" w:cs="Verdana"/>
          <w:b/>
          <w:color w:val="000000" w:themeColor="text1"/>
          <w:sz w:val="22"/>
          <w:szCs w:val="22"/>
        </w:rPr>
      </w:pPr>
      <w:r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In Puglia</w:t>
      </w:r>
      <w:r w:rsidR="003A4289"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, non si registra alcu</w:t>
      </w:r>
      <w:r w:rsidR="00763EE3"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n incremento del numero di casi</w:t>
      </w:r>
      <w:r w:rsidR="003A4289"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 xml:space="preserve"> nell’anno 2016 </w:t>
      </w:r>
      <w:r w:rsidR="00763EE3"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rispet</w:t>
      </w:r>
      <w:r w:rsidR="007219AD"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to ai precedenti</w:t>
      </w:r>
      <w:r w:rsidR="00BE5172"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 xml:space="preserve"> e </w:t>
      </w:r>
      <w:r w:rsidR="00BE5172" w:rsidRPr="00BE5172">
        <w:rPr>
          <w:rFonts w:asciiTheme="minorHAnsi" w:eastAsia="Calibri" w:hAnsiTheme="minorHAnsi" w:cs="Verdana"/>
          <w:b/>
          <w:color w:val="000000" w:themeColor="text1"/>
          <w:sz w:val="22"/>
          <w:szCs w:val="22"/>
        </w:rPr>
        <w:t>quindi la nostra Regione non è in emergenza sanitaria</w:t>
      </w:r>
      <w:r w:rsidR="007219AD" w:rsidRPr="00BE5172">
        <w:rPr>
          <w:rFonts w:asciiTheme="minorHAnsi" w:eastAsia="Calibri" w:hAnsiTheme="minorHAnsi" w:cs="Verdana"/>
          <w:b/>
          <w:color w:val="000000" w:themeColor="text1"/>
          <w:sz w:val="22"/>
          <w:szCs w:val="22"/>
        </w:rPr>
        <w:t>.</w:t>
      </w:r>
    </w:p>
    <w:p w:rsidR="00A3012F" w:rsidRPr="00BE5172" w:rsidRDefault="007219AD" w:rsidP="00763EE3">
      <w:pPr>
        <w:pStyle w:val="NormaleWeb"/>
        <w:contextualSpacing/>
        <w:jc w:val="both"/>
        <w:rPr>
          <w:rFonts w:asciiTheme="minorHAnsi" w:eastAsia="Calibri" w:hAnsiTheme="minorHAnsi" w:cs="Verdana"/>
          <w:color w:val="000000" w:themeColor="text1"/>
          <w:sz w:val="22"/>
          <w:szCs w:val="22"/>
        </w:rPr>
      </w:pPr>
      <w:r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Si</w:t>
      </w:r>
      <w:r w:rsidR="00763EE3"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 xml:space="preserve"> richiamano, di seguito, le modalità operative relative all’offerta della vaccinazione antimeningococcica.</w:t>
      </w:r>
    </w:p>
    <w:p w:rsidR="00763EE3" w:rsidRPr="00BE5172" w:rsidRDefault="00763EE3" w:rsidP="00763EE3">
      <w:pPr>
        <w:pStyle w:val="NormaleWeb"/>
        <w:contextualSpacing/>
        <w:jc w:val="both"/>
        <w:rPr>
          <w:rFonts w:asciiTheme="minorHAnsi" w:hAnsiTheme="minorHAnsi" w:cs="Source Sans Pro"/>
          <w:color w:val="000000" w:themeColor="text1"/>
          <w:sz w:val="22"/>
          <w:szCs w:val="22"/>
          <w:u w:val="single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1)</w:t>
      </w:r>
      <w:r w:rsidRPr="00BE5172">
        <w:rPr>
          <w:rFonts w:asciiTheme="minorHAnsi" w:hAnsiTheme="minorHAnsi" w:cs="Source Sans Pro"/>
          <w:b/>
          <w:color w:val="000000" w:themeColor="text1"/>
          <w:sz w:val="22"/>
          <w:szCs w:val="22"/>
          <w:u w:val="single"/>
        </w:rPr>
        <w:t>Vaccino monovalente per la prevenzione della Neisseria Meningitidis gruppo C:</w:t>
      </w:r>
    </w:p>
    <w:p w:rsidR="00763EE3" w:rsidRPr="00BE5172" w:rsidRDefault="00763EE3" w:rsidP="00763EE3">
      <w:pPr>
        <w:pStyle w:val="NormaleWeb"/>
        <w:ind w:left="220"/>
        <w:contextualSpacing/>
        <w:jc w:val="both"/>
        <w:rPr>
          <w:rFonts w:asciiTheme="minorHAnsi" w:hAnsiTheme="minorHAnsi" w:cs="Source Sans Pro"/>
          <w:color w:val="000000" w:themeColor="text1"/>
          <w:sz w:val="22"/>
          <w:szCs w:val="22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Nome commerciale: MENJUGATE- GSK</w:t>
      </w:r>
    </w:p>
    <w:p w:rsidR="00B43B50" w:rsidRPr="00BE5172" w:rsidRDefault="00B43B50" w:rsidP="00763EE3">
      <w:pPr>
        <w:pStyle w:val="NormaleWeb"/>
        <w:ind w:left="220"/>
        <w:contextualSpacing/>
        <w:jc w:val="both"/>
        <w:rPr>
          <w:rFonts w:asciiTheme="minorHAnsi" w:eastAsia="Calibri" w:hAnsiTheme="minorHAnsi" w:cs="Verdana"/>
          <w:color w:val="000000" w:themeColor="text1"/>
          <w:sz w:val="22"/>
          <w:szCs w:val="22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Raccomandat</w:t>
      </w:r>
      <w:r w:rsidR="00A3012F"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o</w:t>
      </w: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: </w:t>
      </w:r>
      <w:r w:rsidR="00A3012F"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a </w:t>
      </w: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bambini al 15° mese di vita; adolescenti e </w:t>
      </w:r>
      <w:r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a chi si reca in Paesi ove è presente il sierogruppo di meningococco contenuto nel vaccino.</w:t>
      </w:r>
    </w:p>
    <w:p w:rsidR="00164CC6" w:rsidRPr="00BE5172" w:rsidRDefault="00763EE3" w:rsidP="00763EE3">
      <w:pPr>
        <w:pStyle w:val="NormaleWeb"/>
        <w:ind w:left="220"/>
        <w:contextualSpacing/>
        <w:jc w:val="both"/>
        <w:rPr>
          <w:rFonts w:asciiTheme="minorHAnsi" w:hAnsiTheme="minorHAnsi" w:cs="Source Sans Pro"/>
          <w:color w:val="000000" w:themeColor="text1"/>
          <w:sz w:val="22"/>
          <w:szCs w:val="22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Offerta: </w:t>
      </w:r>
    </w:p>
    <w:p w:rsidR="00164CC6" w:rsidRPr="00BE5172" w:rsidRDefault="00763EE3" w:rsidP="00164CC6">
      <w:pPr>
        <w:pStyle w:val="NormaleWeb"/>
        <w:numPr>
          <w:ilvl w:val="0"/>
          <w:numId w:val="1"/>
        </w:numPr>
        <w:contextualSpacing/>
        <w:jc w:val="both"/>
        <w:rPr>
          <w:rFonts w:asciiTheme="minorHAnsi" w:hAnsiTheme="minorHAnsi" w:cs="Source Sans Pro"/>
          <w:color w:val="000000" w:themeColor="text1"/>
          <w:sz w:val="22"/>
          <w:szCs w:val="22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attiva e gratuita ai bambini al 15° mese di vita (giusta DGR Puglia n. 958 del 20.05.2014 e DGR Puglia n. 241/2013</w:t>
      </w:r>
      <w:r w:rsidR="00164CC6"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 – “Calendario per la vita Regione Puglia</w:t>
      </w: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); </w:t>
      </w:r>
    </w:p>
    <w:p w:rsidR="00164CC6" w:rsidRPr="00BE5172" w:rsidRDefault="00164CC6" w:rsidP="00164CC6">
      <w:pPr>
        <w:pStyle w:val="NormaleWeb"/>
        <w:numPr>
          <w:ilvl w:val="0"/>
          <w:numId w:val="1"/>
        </w:numPr>
        <w:contextualSpacing/>
        <w:jc w:val="both"/>
        <w:rPr>
          <w:rFonts w:asciiTheme="minorHAnsi" w:hAnsiTheme="minorHAnsi" w:cs="Source Sans Pro"/>
          <w:color w:val="000000" w:themeColor="text1"/>
          <w:sz w:val="22"/>
          <w:szCs w:val="22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gratuita</w:t>
      </w:r>
      <w:r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per soggetti a rischio di contrarre la malattia meningococcica o perché affetti da patologie (talassemia, diabete, malattie epatiche croniche gravi, immunodeficienze congenite o acquisite, splenectomizzati etc.)</w:t>
      </w:r>
      <w:r w:rsidR="0085706C"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;</w:t>
      </w:r>
    </w:p>
    <w:p w:rsidR="0085706C" w:rsidRPr="00BE5172" w:rsidRDefault="0085706C" w:rsidP="0085706C">
      <w:pPr>
        <w:pStyle w:val="NormaleWeb"/>
        <w:numPr>
          <w:ilvl w:val="0"/>
          <w:numId w:val="1"/>
        </w:numPr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E5172">
        <w:rPr>
          <w:rFonts w:asciiTheme="minorHAnsi" w:hAnsiTheme="minorHAnsi"/>
          <w:color w:val="000000" w:themeColor="text1"/>
          <w:sz w:val="22"/>
          <w:szCs w:val="22"/>
        </w:rPr>
        <w:t>gratuita “per i soggetti che si recano per lunghi e continuativi periodi in Toscana (esempio, lavoratori e studenti fuori sede che mantengono la residenza nelle regione di origine) con le stesse modalità previste in Toscana” (nota Ministeriale N. 0005783 del 01/03/2016);</w:t>
      </w:r>
    </w:p>
    <w:p w:rsidR="00763EE3" w:rsidRPr="00BE5172" w:rsidRDefault="00164CC6" w:rsidP="00164CC6">
      <w:pPr>
        <w:pStyle w:val="NormaleWeb"/>
        <w:numPr>
          <w:ilvl w:val="0"/>
          <w:numId w:val="1"/>
        </w:numPr>
        <w:contextualSpacing/>
        <w:jc w:val="both"/>
        <w:rPr>
          <w:rFonts w:asciiTheme="minorHAnsi" w:hAnsiTheme="minorHAnsi" w:cs="Source Sans Pro"/>
          <w:color w:val="000000" w:themeColor="text1"/>
          <w:sz w:val="22"/>
          <w:szCs w:val="22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in co-pagamento </w:t>
      </w:r>
      <w:r w:rsidR="00763EE3"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per tutti i soggetti che non rientrano nell</w:t>
      </w: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e precedenti categorie </w:t>
      </w:r>
      <w:r w:rsidR="00763EE3"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al </w:t>
      </w: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costo</w:t>
      </w:r>
      <w:r w:rsidR="00763EE3"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 di € 8,18 (giusta Deliberazione del Direttore Generale </w:t>
      </w: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Asl Bari </w:t>
      </w:r>
      <w:r w:rsidR="00763EE3"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n.1091 del 10/06/2016) più il 10% di Iva e costo della prestazione di € 19,04.</w:t>
      </w:r>
    </w:p>
    <w:p w:rsidR="00A3012F" w:rsidRPr="00BE5172" w:rsidRDefault="00A3012F" w:rsidP="00763EE3">
      <w:pPr>
        <w:pStyle w:val="NormaleWeb"/>
        <w:contextualSpacing/>
        <w:jc w:val="both"/>
        <w:rPr>
          <w:rFonts w:asciiTheme="minorHAnsi" w:hAnsiTheme="minorHAnsi" w:cs="Source Sans Pro"/>
          <w:color w:val="000000" w:themeColor="text1"/>
          <w:sz w:val="22"/>
          <w:szCs w:val="22"/>
        </w:rPr>
      </w:pPr>
    </w:p>
    <w:p w:rsidR="00763EE3" w:rsidRPr="00BE5172" w:rsidRDefault="00763EE3" w:rsidP="00763EE3">
      <w:pPr>
        <w:pStyle w:val="NormaleWeb"/>
        <w:contextualSpacing/>
        <w:jc w:val="both"/>
        <w:rPr>
          <w:rFonts w:asciiTheme="minorHAnsi" w:hAnsiTheme="minorHAnsi" w:cs="Source Sans Pro"/>
          <w:color w:val="000000" w:themeColor="text1"/>
          <w:sz w:val="22"/>
          <w:szCs w:val="22"/>
          <w:u w:val="single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2)</w:t>
      </w:r>
      <w:r w:rsidRPr="00BE5172">
        <w:rPr>
          <w:rFonts w:asciiTheme="minorHAnsi" w:hAnsiTheme="minorHAnsi" w:cs="Source Sans Pro"/>
          <w:b/>
          <w:color w:val="000000" w:themeColor="text1"/>
          <w:sz w:val="22"/>
          <w:szCs w:val="22"/>
          <w:u w:val="single"/>
        </w:rPr>
        <w:t>Vaccino meningococcico coniugato del gruppo A, C, W135, Y:</w:t>
      </w:r>
    </w:p>
    <w:p w:rsidR="00763EE3" w:rsidRPr="00BE5172" w:rsidRDefault="00763EE3" w:rsidP="00763EE3">
      <w:pPr>
        <w:pStyle w:val="NormaleWeb"/>
        <w:ind w:left="220"/>
        <w:contextualSpacing/>
        <w:jc w:val="both"/>
        <w:rPr>
          <w:rFonts w:asciiTheme="minorHAnsi" w:hAnsiTheme="minorHAnsi" w:cs="Source Sans Pro"/>
          <w:color w:val="000000" w:themeColor="text1"/>
          <w:sz w:val="22"/>
          <w:szCs w:val="22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Nome commerciale: MENVEO- GSK </w:t>
      </w:r>
    </w:p>
    <w:p w:rsidR="002E30AD" w:rsidRPr="00BE5172" w:rsidRDefault="002E30AD" w:rsidP="002E30AD">
      <w:pPr>
        <w:pStyle w:val="NormaleWeb"/>
        <w:ind w:left="220"/>
        <w:contextualSpacing/>
        <w:jc w:val="both"/>
        <w:rPr>
          <w:rFonts w:asciiTheme="minorHAnsi" w:hAnsiTheme="minorHAnsi" w:cs="Source Sans Pro"/>
          <w:color w:val="000000" w:themeColor="text1"/>
          <w:sz w:val="22"/>
          <w:szCs w:val="22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Raccomandato a: </w:t>
      </w:r>
      <w:r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 xml:space="preserve">adolescenti che </w:t>
      </w:r>
      <w:r w:rsidR="00B43B50"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 xml:space="preserve">vaccinati, sia non vaccinati da piccoli e </w:t>
      </w:r>
      <w:r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a chi si reca in Paesi ove sono presenti i sierogruppi di meningococco contenuti nel vaccino</w:t>
      </w:r>
      <w:r w:rsidR="00B43B50"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; è fortemente raccomandato in persone a rischio o perché affetti da alcune patologie (talassemia, diabete, malattie epatiche croniche gravi, immunodeficienze congenite o acquisite, splenectomizzati, etc.)</w:t>
      </w:r>
    </w:p>
    <w:p w:rsidR="00164CC6" w:rsidRPr="00BE5172" w:rsidRDefault="00763EE3" w:rsidP="00763EE3">
      <w:pPr>
        <w:pStyle w:val="NormaleWeb"/>
        <w:ind w:left="220"/>
        <w:contextualSpacing/>
        <w:jc w:val="both"/>
        <w:rPr>
          <w:rFonts w:asciiTheme="minorHAnsi" w:hAnsiTheme="minorHAnsi" w:cs="Source Sans Pro"/>
          <w:color w:val="000000" w:themeColor="text1"/>
          <w:sz w:val="22"/>
          <w:szCs w:val="22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Offerta: </w:t>
      </w:r>
    </w:p>
    <w:p w:rsidR="00164CC6" w:rsidRPr="00BE5172" w:rsidRDefault="00763EE3" w:rsidP="00164CC6">
      <w:pPr>
        <w:pStyle w:val="NormaleWeb"/>
        <w:numPr>
          <w:ilvl w:val="0"/>
          <w:numId w:val="2"/>
        </w:numPr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attiva e gratuita ai bambini di 11-12 anni di età</w:t>
      </w:r>
      <w:r w:rsidR="00164CC6"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 (giusta DGR Puglia n. 958 del 20.05.2014 e DGR Puglia n. 241/2013 – “Calendario per la vita Regione Puglia);</w:t>
      </w:r>
    </w:p>
    <w:p w:rsidR="00164CC6" w:rsidRPr="00BE5172" w:rsidRDefault="00164CC6" w:rsidP="0085706C">
      <w:pPr>
        <w:pStyle w:val="NormaleWeb"/>
        <w:numPr>
          <w:ilvl w:val="0"/>
          <w:numId w:val="2"/>
        </w:numPr>
        <w:contextualSpacing/>
        <w:jc w:val="both"/>
        <w:rPr>
          <w:rFonts w:asciiTheme="minorHAnsi" w:hAnsiTheme="minorHAnsi" w:cs="Source Sans Pro"/>
          <w:color w:val="000000" w:themeColor="text1"/>
          <w:sz w:val="22"/>
          <w:szCs w:val="22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gratuita</w:t>
      </w:r>
      <w:r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per soggetti a rischio di contrarre la malattia meningococcica o perché affetti da patologie (talassemia, diabete, malattie epatiche croniche gravi, immunodeficienze congenite o acquisite, splenectomizzati etc.)</w:t>
      </w:r>
      <w:r w:rsidR="00F9326D"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;</w:t>
      </w:r>
    </w:p>
    <w:p w:rsidR="0085706C" w:rsidRPr="00BE5172" w:rsidRDefault="00763EE3" w:rsidP="0085706C">
      <w:pPr>
        <w:pStyle w:val="NormaleWeb"/>
        <w:numPr>
          <w:ilvl w:val="0"/>
          <w:numId w:val="2"/>
        </w:numPr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E5172">
        <w:rPr>
          <w:rFonts w:asciiTheme="minorHAnsi" w:hAnsiTheme="minorHAnsi"/>
          <w:color w:val="000000" w:themeColor="text1"/>
          <w:sz w:val="22"/>
          <w:szCs w:val="22"/>
        </w:rPr>
        <w:t xml:space="preserve">gratuita al personale in missione per motivi umanitari </w:t>
      </w:r>
      <w:r w:rsidR="00164CC6"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(giusta DGR Puglia n. 958 del 20.05.2014 e DGR Puglia n. 241/2013 – “Calendario per la vita Regione Puglia)</w:t>
      </w:r>
      <w:r w:rsidRPr="00BE517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763EE3" w:rsidRPr="00BE5172" w:rsidRDefault="0085706C" w:rsidP="0085706C">
      <w:pPr>
        <w:pStyle w:val="NormaleWeb"/>
        <w:numPr>
          <w:ilvl w:val="0"/>
          <w:numId w:val="2"/>
        </w:numPr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lastRenderedPageBreak/>
        <w:t xml:space="preserve">in co-pagamento per tutti i soggetti che non rientrano nelle precedenti categorie al costo di </w:t>
      </w:r>
      <w:r w:rsidR="00763EE3"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€ 25,73 (giusta Deliberazione del Direttore Generale Asl Bari n. 1753 dell’08/10/2015) più 10% di iva e costo della prestazione di € 19,04.</w:t>
      </w:r>
    </w:p>
    <w:p w:rsidR="00A3012F" w:rsidRPr="00BE5172" w:rsidRDefault="00A3012F" w:rsidP="00763EE3">
      <w:pPr>
        <w:pStyle w:val="NormaleWeb"/>
        <w:contextualSpacing/>
        <w:jc w:val="both"/>
        <w:rPr>
          <w:rFonts w:asciiTheme="minorHAnsi" w:hAnsiTheme="minorHAnsi" w:cs="Source Sans Pro"/>
          <w:color w:val="000000" w:themeColor="text1"/>
          <w:sz w:val="22"/>
          <w:szCs w:val="22"/>
        </w:rPr>
      </w:pPr>
    </w:p>
    <w:p w:rsidR="00763EE3" w:rsidRPr="00BE5172" w:rsidRDefault="00763EE3" w:rsidP="00763EE3">
      <w:pPr>
        <w:pStyle w:val="NormaleWeb"/>
        <w:contextualSpacing/>
        <w:jc w:val="both"/>
        <w:rPr>
          <w:rFonts w:asciiTheme="minorHAnsi" w:hAnsiTheme="minorHAnsi" w:cs="Source Sans Pro"/>
          <w:color w:val="000000" w:themeColor="text1"/>
          <w:sz w:val="22"/>
          <w:szCs w:val="22"/>
          <w:u w:val="single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3)</w:t>
      </w:r>
      <w:r w:rsidRPr="00BE5172">
        <w:rPr>
          <w:rFonts w:asciiTheme="minorHAnsi" w:hAnsiTheme="minorHAnsi" w:cs="Source Sans Pro"/>
          <w:b/>
          <w:color w:val="000000" w:themeColor="text1"/>
          <w:sz w:val="22"/>
          <w:szCs w:val="22"/>
          <w:u w:val="single"/>
        </w:rPr>
        <w:t>Vaccino contro il meningococco di gruppo B:</w:t>
      </w:r>
    </w:p>
    <w:p w:rsidR="00763EE3" w:rsidRPr="00BE5172" w:rsidRDefault="00763EE3" w:rsidP="00763EE3">
      <w:pPr>
        <w:pStyle w:val="NormaleWeb"/>
        <w:ind w:left="220"/>
        <w:contextualSpacing/>
        <w:jc w:val="both"/>
        <w:rPr>
          <w:rFonts w:asciiTheme="minorHAnsi" w:hAnsiTheme="minorHAnsi" w:cs="Source Sans Pro"/>
          <w:color w:val="000000" w:themeColor="text1"/>
          <w:sz w:val="22"/>
          <w:szCs w:val="22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Nome commerciale: BEXERO- GSK </w:t>
      </w:r>
    </w:p>
    <w:p w:rsidR="00B43B50" w:rsidRPr="00BE5172" w:rsidRDefault="00B43B50" w:rsidP="00B43B50">
      <w:pPr>
        <w:pStyle w:val="NormaleWeb"/>
        <w:ind w:left="220"/>
        <w:contextualSpacing/>
        <w:jc w:val="both"/>
        <w:rPr>
          <w:rFonts w:asciiTheme="minorHAnsi" w:hAnsiTheme="minorHAnsi" w:cs="Source Sans Pro"/>
          <w:color w:val="000000" w:themeColor="text1"/>
          <w:sz w:val="22"/>
          <w:szCs w:val="22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Raccomandato: </w:t>
      </w:r>
      <w:r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a bambini a partire dal 76°giorno di vita; in persone a rischio o perché affetti da alcune patologie (talassemia, diabete, malattie epatiche croniche gravi, immunodeficienze congenite o acquisite, splenectomizzati, etc.)</w:t>
      </w:r>
    </w:p>
    <w:p w:rsidR="0085706C" w:rsidRPr="00BE5172" w:rsidRDefault="00763EE3" w:rsidP="00763EE3">
      <w:pPr>
        <w:pStyle w:val="NormaleWeb"/>
        <w:ind w:left="220"/>
        <w:contextualSpacing/>
        <w:jc w:val="both"/>
        <w:rPr>
          <w:rFonts w:asciiTheme="minorHAnsi" w:hAnsiTheme="minorHAnsi" w:cs="Source Sans Pro"/>
          <w:color w:val="000000" w:themeColor="text1"/>
          <w:sz w:val="22"/>
          <w:szCs w:val="22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Offerta: </w:t>
      </w:r>
    </w:p>
    <w:p w:rsidR="0085706C" w:rsidRPr="00BE5172" w:rsidRDefault="00763EE3" w:rsidP="0085706C">
      <w:pPr>
        <w:pStyle w:val="NormaleWeb"/>
        <w:numPr>
          <w:ilvl w:val="0"/>
          <w:numId w:val="3"/>
        </w:numPr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att</w:t>
      </w:r>
      <w:r w:rsidR="002E30AD"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iva e gratuita ai bambini dal 76° giorno </w:t>
      </w: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di vita a partire dalla coorte del 2014 e successive</w:t>
      </w:r>
      <w:r w:rsidR="0085706C"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 (</w:t>
      </w: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giusta DGR della Giunta Regionale n. 958 del 20.05.2014 e DGR n. 241/2013)</w:t>
      </w:r>
      <w:r w:rsidRPr="00BE517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E5172" w:rsidRPr="00BE5172" w:rsidRDefault="0085706C" w:rsidP="00BE5172">
      <w:pPr>
        <w:pStyle w:val="NormaleWeb"/>
        <w:numPr>
          <w:ilvl w:val="0"/>
          <w:numId w:val="3"/>
        </w:numPr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>in co-pagamento per tutti i soggetti che non rientrano nelle precedenti categorie al costo di</w:t>
      </w:r>
      <w:r w:rsidR="00763EE3" w:rsidRPr="00BE5172">
        <w:rPr>
          <w:rFonts w:asciiTheme="minorHAnsi" w:hAnsiTheme="minorHAnsi" w:cs="Source Sans Pro"/>
          <w:color w:val="000000" w:themeColor="text1"/>
          <w:sz w:val="22"/>
          <w:szCs w:val="22"/>
        </w:rPr>
        <w:t xml:space="preserve"> € 50,00 (Deliberazione del Direttore Generale Asl Bari n. 1753 dell’08/10/2015) più 10% di iva e costo della prestazione di € 19,04.</w:t>
      </w:r>
    </w:p>
    <w:p w:rsidR="00A92D9E" w:rsidRPr="00BE5172" w:rsidRDefault="00886E9C" w:rsidP="00BE5172">
      <w:pPr>
        <w:pStyle w:val="NormaleWeb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 xml:space="preserve">Si evidenzia che, </w:t>
      </w:r>
      <w:r w:rsidR="00E51390"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“</w:t>
      </w:r>
      <w:r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 xml:space="preserve">per </w:t>
      </w:r>
      <w:r w:rsidR="002E30AD" w:rsidRPr="00BE5172">
        <w:rPr>
          <w:rFonts w:asciiTheme="minorHAnsi" w:eastAsia="Calibri" w:hAnsiTheme="minorHAnsi" w:cs="Verdana"/>
          <w:bCs/>
          <w:color w:val="000000" w:themeColor="text1"/>
          <w:sz w:val="22"/>
          <w:szCs w:val="22"/>
        </w:rPr>
        <w:t xml:space="preserve">gli adulti che nell’infanzia non sono stati vaccinati contro il meningococco </w:t>
      </w:r>
      <w:r w:rsidRPr="00BE5172">
        <w:rPr>
          <w:rFonts w:asciiTheme="minorHAnsi" w:eastAsia="Calibri" w:hAnsiTheme="minorHAnsi" w:cs="Verdana"/>
          <w:bCs/>
          <w:color w:val="000000" w:themeColor="text1"/>
          <w:sz w:val="22"/>
          <w:szCs w:val="22"/>
        </w:rPr>
        <w:t xml:space="preserve">la vaccinazione </w:t>
      </w:r>
      <w:r w:rsidR="002E30AD"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non è raccomandata a meno che non siano presenti i fattori di rischio o le condizioni sopra riportate</w:t>
      </w:r>
      <w:r w:rsidR="00E51390"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”(ISS - http://www.iss.it/pres/?lang=1&amp;id=1719&amp;tipo=6)</w:t>
      </w:r>
      <w:r w:rsidR="002E30AD"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. Chi vuole</w:t>
      </w:r>
      <w:r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,</w:t>
      </w:r>
      <w:r w:rsidR="002E30AD"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 xml:space="preserve"> può comunque ricorrere alla vaccinazio</w:t>
      </w:r>
      <w:r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ne, anche se non gratuitamente, fatte salve le condizioni sopra citate</w:t>
      </w:r>
      <w:r w:rsidR="00E51390" w:rsidRPr="00BE5172">
        <w:rPr>
          <w:rFonts w:asciiTheme="minorHAnsi" w:eastAsia="Calibri" w:hAnsiTheme="minorHAnsi" w:cs="Verdana"/>
          <w:color w:val="000000" w:themeColor="text1"/>
          <w:sz w:val="22"/>
          <w:szCs w:val="22"/>
        </w:rPr>
        <w:t>.</w:t>
      </w:r>
    </w:p>
    <w:p w:rsidR="00657AEC" w:rsidRPr="00BE5172" w:rsidRDefault="00657AEC" w:rsidP="009D1BE1">
      <w:pPr>
        <w:ind w:left="5103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:rsidR="00657AEC" w:rsidRDefault="00657AEC" w:rsidP="009D1BE1">
      <w:pPr>
        <w:ind w:left="5103"/>
        <w:jc w:val="center"/>
        <w:rPr>
          <w:rFonts w:ascii="Calibri" w:hAnsi="Calibri" w:cs="Calibri"/>
          <w:sz w:val="16"/>
          <w:szCs w:val="16"/>
        </w:rPr>
      </w:pPr>
    </w:p>
    <w:p w:rsidR="00DE3A5E" w:rsidRDefault="00DE3A5E" w:rsidP="009D1BE1">
      <w:pPr>
        <w:ind w:left="5103"/>
        <w:jc w:val="center"/>
        <w:rPr>
          <w:rFonts w:ascii="Calibri" w:hAnsi="Calibri" w:cs="Calibri"/>
          <w:sz w:val="16"/>
          <w:szCs w:val="16"/>
        </w:rPr>
      </w:pPr>
    </w:p>
    <w:p w:rsidR="00A45750" w:rsidRPr="001C2FD8" w:rsidRDefault="00A45750" w:rsidP="000D14CF">
      <w:pPr>
        <w:rPr>
          <w:rFonts w:ascii="Calibri" w:hAnsi="Calibri" w:cs="Calibri"/>
          <w:sz w:val="16"/>
          <w:szCs w:val="16"/>
        </w:rPr>
      </w:pPr>
    </w:p>
    <w:sectPr w:rsidR="00A45750" w:rsidRPr="001C2FD8" w:rsidSect="003422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E0" w:rsidRDefault="00E42CE0" w:rsidP="00114F7B">
      <w:r>
        <w:separator/>
      </w:r>
    </w:p>
  </w:endnote>
  <w:endnote w:type="continuationSeparator" w:id="1">
    <w:p w:rsidR="00E42CE0" w:rsidRDefault="00E42CE0" w:rsidP="0011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2F" w:rsidRPr="00ED6C8C" w:rsidRDefault="00A3012F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>pag.</w:t>
    </w:r>
    <w:r w:rsidR="00C17023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C17023" w:rsidRPr="00ED6C8C">
      <w:rPr>
        <w:rFonts w:ascii="Calibri" w:hAnsi="Calibri" w:cs="Calibri"/>
        <w:sz w:val="16"/>
        <w:szCs w:val="16"/>
      </w:rPr>
      <w:fldChar w:fldCharType="separate"/>
    </w:r>
    <w:r w:rsidR="00657625">
      <w:rPr>
        <w:rFonts w:ascii="Calibri" w:hAnsi="Calibri" w:cs="Calibri"/>
        <w:noProof/>
        <w:sz w:val="16"/>
        <w:szCs w:val="16"/>
      </w:rPr>
      <w:t>2</w:t>
    </w:r>
    <w:r w:rsidR="00C17023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C17023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C17023" w:rsidRPr="00ED6C8C">
      <w:rPr>
        <w:rFonts w:ascii="Calibri" w:hAnsi="Calibri" w:cs="Calibri"/>
        <w:sz w:val="16"/>
        <w:szCs w:val="16"/>
      </w:rPr>
      <w:fldChar w:fldCharType="separate"/>
    </w:r>
    <w:r w:rsidR="00657625">
      <w:rPr>
        <w:rFonts w:ascii="Calibri" w:hAnsi="Calibri" w:cs="Calibri"/>
        <w:noProof/>
        <w:sz w:val="16"/>
        <w:szCs w:val="16"/>
      </w:rPr>
      <w:t>2</w:t>
    </w:r>
    <w:r w:rsidR="00C17023" w:rsidRPr="00ED6C8C">
      <w:rPr>
        <w:rFonts w:ascii="Calibri" w:hAnsi="Calibri" w:cs="Calibri"/>
        <w:sz w:val="16"/>
        <w:szCs w:val="16"/>
      </w:rPr>
      <w:fldChar w:fldCharType="end"/>
    </w:r>
  </w:p>
  <w:p w:rsidR="00A3012F" w:rsidRPr="00ED6C8C" w:rsidRDefault="00A3012F" w:rsidP="00DB2F66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DIPARTIMENTO DI PREVENZIONE </w:t>
    </w:r>
  </w:p>
  <w:p w:rsidR="00A3012F" w:rsidRPr="00ED6C8C" w:rsidRDefault="00A3012F" w:rsidP="00970543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>DIREZIONE</w:t>
    </w:r>
  </w:p>
  <w:p w:rsidR="00A3012F" w:rsidRPr="00ED6C8C" w:rsidRDefault="00A3012F" w:rsidP="002461DD">
    <w:pPr>
      <w:rPr>
        <w:rFonts w:ascii="Calibri" w:hAnsi="Calibri" w:cs="Calibri"/>
        <w:bCs/>
        <w:sz w:val="16"/>
        <w:szCs w:val="16"/>
      </w:rPr>
    </w:pPr>
  </w:p>
  <w:p w:rsidR="00A3012F" w:rsidRPr="00ED6C8C" w:rsidRDefault="00A3012F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2F" w:rsidRDefault="00C17023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A3012F" w:rsidRPr="00FC5784" w:rsidRDefault="00A3012F" w:rsidP="00C069B9">
    <w:pPr>
      <w:tabs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r w:rsidRPr="00ED6C8C">
      <w:rPr>
        <w:rFonts w:ascii="Calibri" w:hAnsi="Calibri" w:cs="Calibri"/>
        <w:b/>
        <w:color w:val="1F497D"/>
        <w:w w:val="120"/>
      </w:rPr>
      <w:t>www.asl.bari.it</w:t>
    </w:r>
    <w:r w:rsidRPr="00FC5784">
      <w:rPr>
        <w:rFonts w:ascii="Calibri" w:hAnsi="Calibri" w:cs="Calibri"/>
        <w:sz w:val="16"/>
        <w:szCs w:val="16"/>
      </w:rPr>
      <w:t>| sede legale: Lungomare Starita 6, 70123 BARI  | p.ivac.f.: 06534340721</w:t>
    </w:r>
  </w:p>
  <w:p w:rsidR="00A3012F" w:rsidRPr="00FC5784" w:rsidRDefault="00A3012F" w:rsidP="00E72E82">
    <w:pPr>
      <w:tabs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 w:rsidRPr="00FC5784">
      <w:rPr>
        <w:rFonts w:ascii="Calibri" w:hAnsi="Calibri" w:cs="Calibri"/>
        <w:b/>
        <w:bCs/>
        <w:sz w:val="16"/>
        <w:szCs w:val="16"/>
      </w:rPr>
      <w:t xml:space="preserve">DIPARTIMENTO DI PREVENZIONE </w:t>
    </w:r>
  </w:p>
  <w:p w:rsidR="00A3012F" w:rsidRPr="00FC5784" w:rsidRDefault="00A3012F" w:rsidP="00E72E82">
    <w:pPr>
      <w:tabs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 w:rsidRPr="00FC5784">
      <w:rPr>
        <w:rFonts w:ascii="Calibri" w:hAnsi="Calibri" w:cs="Calibri"/>
        <w:sz w:val="16"/>
        <w:szCs w:val="16"/>
      </w:rPr>
      <w:t>Lungomare Starita 6, 70123 BARI</w:t>
    </w:r>
    <w:r w:rsidRPr="00FC5784">
      <w:rPr>
        <w:rFonts w:ascii="Calibri" w:hAnsi="Calibri" w:cs="Calibri"/>
        <w:sz w:val="16"/>
        <w:szCs w:val="16"/>
      </w:rPr>
      <w:tab/>
      <w:t>tel 0805842 442  |  fax 0805842 425</w:t>
    </w:r>
  </w:p>
  <w:p w:rsidR="00A3012F" w:rsidRPr="00FC5784" w:rsidRDefault="00A3012F" w:rsidP="00E72E82">
    <w:pPr>
      <w:tabs>
        <w:tab w:val="left" w:pos="4820"/>
        <w:tab w:val="right" w:pos="9639"/>
      </w:tabs>
      <w:jc w:val="both"/>
      <w:rPr>
        <w:rFonts w:ascii="Calibri" w:hAnsi="Calibri" w:cs="Calibri"/>
        <w:sz w:val="16"/>
        <w:szCs w:val="16"/>
      </w:rPr>
    </w:pPr>
    <w:r w:rsidRPr="00FC5784">
      <w:rPr>
        <w:rFonts w:ascii="Calibri" w:hAnsi="Calibri" w:cs="Calibri"/>
        <w:sz w:val="16"/>
        <w:szCs w:val="16"/>
      </w:rPr>
      <w:t>pec: dipartimentoprevenzione.aslbari@pec.rupar.puglia.it</w:t>
    </w:r>
    <w:r w:rsidRPr="00FC5784">
      <w:rPr>
        <w:rFonts w:ascii="Calibri" w:hAnsi="Calibri" w:cs="Calibri"/>
        <w:sz w:val="16"/>
        <w:szCs w:val="16"/>
      </w:rPr>
      <w:tab/>
      <w:t xml:space="preserve">mail: dipartimento.prevenzione@asl.bari.it  </w:t>
    </w:r>
  </w:p>
  <w:p w:rsidR="00A3012F" w:rsidRPr="00ED6C8C" w:rsidRDefault="00A3012F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E0" w:rsidRDefault="00E42CE0" w:rsidP="00114F7B">
      <w:r>
        <w:separator/>
      </w:r>
    </w:p>
  </w:footnote>
  <w:footnote w:type="continuationSeparator" w:id="1">
    <w:p w:rsidR="00E42CE0" w:rsidRDefault="00E42CE0" w:rsidP="0011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2F" w:rsidRPr="0034225F" w:rsidRDefault="00A3012F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2F" w:rsidRPr="0063477E" w:rsidRDefault="00A3012F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3231F">
      <w:rPr>
        <w:rFonts w:ascii="Calibri" w:hAnsi="Calibri" w:cs="Tahoma"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A3012F" w:rsidRPr="00016828" w:rsidRDefault="00A3012F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  <w:t>AZIENDA SANITARIA LOCALE DELLA PROVINCIA DI BARI</w:t>
    </w:r>
  </w:p>
  <w:p w:rsidR="00A3012F" w:rsidRPr="0063477E" w:rsidRDefault="00A3012F" w:rsidP="00B55DA4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A3012F" w:rsidRPr="0063477E" w:rsidRDefault="00A3012F" w:rsidP="00B55DA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1C1C1C"/>
        <w:sz w:val="16"/>
        <w:szCs w:val="16"/>
      </w:rPr>
      <w:tab/>
      <w:t>DIREZIONE</w:t>
    </w:r>
  </w:p>
  <w:p w:rsidR="00A3012F" w:rsidRDefault="00A301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B2E"/>
    <w:multiLevelType w:val="hybridMultilevel"/>
    <w:tmpl w:val="8F58C788"/>
    <w:lvl w:ilvl="0" w:tplc="0410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443B4FE6"/>
    <w:multiLevelType w:val="hybridMultilevel"/>
    <w:tmpl w:val="E0D29936"/>
    <w:lvl w:ilvl="0" w:tplc="0410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526C448A"/>
    <w:multiLevelType w:val="hybridMultilevel"/>
    <w:tmpl w:val="5D18DE88"/>
    <w:lvl w:ilvl="0" w:tplc="0410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attachedTemplate r:id="rId1"/>
  <w:defaultTabStop w:val="709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57AEC"/>
    <w:rsid w:val="00016828"/>
    <w:rsid w:val="000350D4"/>
    <w:rsid w:val="00040C9A"/>
    <w:rsid w:val="00055CCA"/>
    <w:rsid w:val="00070775"/>
    <w:rsid w:val="00087970"/>
    <w:rsid w:val="000B1E66"/>
    <w:rsid w:val="000B622E"/>
    <w:rsid w:val="000B7A0F"/>
    <w:rsid w:val="000C51EC"/>
    <w:rsid w:val="000D14CF"/>
    <w:rsid w:val="000D3A07"/>
    <w:rsid w:val="000F4D4C"/>
    <w:rsid w:val="00114F7B"/>
    <w:rsid w:val="00124DA1"/>
    <w:rsid w:val="00131B74"/>
    <w:rsid w:val="001344AB"/>
    <w:rsid w:val="001426FF"/>
    <w:rsid w:val="00145C3E"/>
    <w:rsid w:val="00164CC6"/>
    <w:rsid w:val="00166FE0"/>
    <w:rsid w:val="00174ABB"/>
    <w:rsid w:val="00185135"/>
    <w:rsid w:val="001965CA"/>
    <w:rsid w:val="001A7D1C"/>
    <w:rsid w:val="001C2FD8"/>
    <w:rsid w:val="001D21B3"/>
    <w:rsid w:val="001D5F5D"/>
    <w:rsid w:val="00214928"/>
    <w:rsid w:val="00224734"/>
    <w:rsid w:val="002272A2"/>
    <w:rsid w:val="0023231F"/>
    <w:rsid w:val="0023358A"/>
    <w:rsid w:val="002461DD"/>
    <w:rsid w:val="002506E4"/>
    <w:rsid w:val="0026142E"/>
    <w:rsid w:val="00265BC4"/>
    <w:rsid w:val="00272206"/>
    <w:rsid w:val="00284F23"/>
    <w:rsid w:val="00287A07"/>
    <w:rsid w:val="002925EA"/>
    <w:rsid w:val="00295763"/>
    <w:rsid w:val="002973B8"/>
    <w:rsid w:val="002A54A9"/>
    <w:rsid w:val="002B62ED"/>
    <w:rsid w:val="002B7E91"/>
    <w:rsid w:val="002C248B"/>
    <w:rsid w:val="002D1C62"/>
    <w:rsid w:val="002E30AD"/>
    <w:rsid w:val="00333863"/>
    <w:rsid w:val="0034225F"/>
    <w:rsid w:val="00342E88"/>
    <w:rsid w:val="003A4289"/>
    <w:rsid w:val="003B4B76"/>
    <w:rsid w:val="003C230D"/>
    <w:rsid w:val="003F2B27"/>
    <w:rsid w:val="003F7BBA"/>
    <w:rsid w:val="00400B66"/>
    <w:rsid w:val="00400D73"/>
    <w:rsid w:val="00433BA0"/>
    <w:rsid w:val="00442B9F"/>
    <w:rsid w:val="00455687"/>
    <w:rsid w:val="0046028D"/>
    <w:rsid w:val="004622E2"/>
    <w:rsid w:val="00471C97"/>
    <w:rsid w:val="00485DAA"/>
    <w:rsid w:val="0049781B"/>
    <w:rsid w:val="004A3A2D"/>
    <w:rsid w:val="004B2129"/>
    <w:rsid w:val="004B43D9"/>
    <w:rsid w:val="004C0656"/>
    <w:rsid w:val="004C57D5"/>
    <w:rsid w:val="004D0991"/>
    <w:rsid w:val="004E2DFC"/>
    <w:rsid w:val="00504509"/>
    <w:rsid w:val="00511E3F"/>
    <w:rsid w:val="005166CA"/>
    <w:rsid w:val="00530A80"/>
    <w:rsid w:val="00552C86"/>
    <w:rsid w:val="00554F61"/>
    <w:rsid w:val="00583F94"/>
    <w:rsid w:val="00586518"/>
    <w:rsid w:val="005865B7"/>
    <w:rsid w:val="00595C26"/>
    <w:rsid w:val="005A116D"/>
    <w:rsid w:val="005B0516"/>
    <w:rsid w:val="005B403F"/>
    <w:rsid w:val="005C56A6"/>
    <w:rsid w:val="005D15A3"/>
    <w:rsid w:val="00603591"/>
    <w:rsid w:val="00605CF2"/>
    <w:rsid w:val="00610548"/>
    <w:rsid w:val="00620948"/>
    <w:rsid w:val="006247E4"/>
    <w:rsid w:val="0063145B"/>
    <w:rsid w:val="00633950"/>
    <w:rsid w:val="0063477E"/>
    <w:rsid w:val="00655510"/>
    <w:rsid w:val="00657625"/>
    <w:rsid w:val="00657AEC"/>
    <w:rsid w:val="0067793A"/>
    <w:rsid w:val="006801A9"/>
    <w:rsid w:val="0068307D"/>
    <w:rsid w:val="006859DE"/>
    <w:rsid w:val="006C286C"/>
    <w:rsid w:val="006E75C5"/>
    <w:rsid w:val="006F7C4C"/>
    <w:rsid w:val="007219AD"/>
    <w:rsid w:val="007253CF"/>
    <w:rsid w:val="0072657A"/>
    <w:rsid w:val="00746F3E"/>
    <w:rsid w:val="00752C84"/>
    <w:rsid w:val="00755A47"/>
    <w:rsid w:val="00763EE3"/>
    <w:rsid w:val="00780B5F"/>
    <w:rsid w:val="00782F15"/>
    <w:rsid w:val="007859FF"/>
    <w:rsid w:val="00786887"/>
    <w:rsid w:val="00791673"/>
    <w:rsid w:val="007A04DD"/>
    <w:rsid w:val="007A1029"/>
    <w:rsid w:val="007A3A32"/>
    <w:rsid w:val="007B11A8"/>
    <w:rsid w:val="007D7405"/>
    <w:rsid w:val="007E52CF"/>
    <w:rsid w:val="007F11FB"/>
    <w:rsid w:val="007F3086"/>
    <w:rsid w:val="00802C7D"/>
    <w:rsid w:val="008077FB"/>
    <w:rsid w:val="00810928"/>
    <w:rsid w:val="00812349"/>
    <w:rsid w:val="00815F41"/>
    <w:rsid w:val="00827041"/>
    <w:rsid w:val="00832BF6"/>
    <w:rsid w:val="00837C86"/>
    <w:rsid w:val="008508B5"/>
    <w:rsid w:val="0085706C"/>
    <w:rsid w:val="00871010"/>
    <w:rsid w:val="00886E9C"/>
    <w:rsid w:val="008C30FC"/>
    <w:rsid w:val="008C512C"/>
    <w:rsid w:val="008C66C1"/>
    <w:rsid w:val="008D2527"/>
    <w:rsid w:val="008E720F"/>
    <w:rsid w:val="0090246E"/>
    <w:rsid w:val="009048B5"/>
    <w:rsid w:val="00941DA6"/>
    <w:rsid w:val="00956D9A"/>
    <w:rsid w:val="00960BC3"/>
    <w:rsid w:val="00970280"/>
    <w:rsid w:val="00970543"/>
    <w:rsid w:val="00993440"/>
    <w:rsid w:val="009A5954"/>
    <w:rsid w:val="009B3B55"/>
    <w:rsid w:val="009C0192"/>
    <w:rsid w:val="009C37B7"/>
    <w:rsid w:val="009C5866"/>
    <w:rsid w:val="009D1BE1"/>
    <w:rsid w:val="009E1474"/>
    <w:rsid w:val="009F1FC0"/>
    <w:rsid w:val="009F305F"/>
    <w:rsid w:val="00A163F5"/>
    <w:rsid w:val="00A3012F"/>
    <w:rsid w:val="00A309FE"/>
    <w:rsid w:val="00A45750"/>
    <w:rsid w:val="00A53619"/>
    <w:rsid w:val="00A6064E"/>
    <w:rsid w:val="00A6481C"/>
    <w:rsid w:val="00A66489"/>
    <w:rsid w:val="00A7283D"/>
    <w:rsid w:val="00A85202"/>
    <w:rsid w:val="00A92D9E"/>
    <w:rsid w:val="00AF6886"/>
    <w:rsid w:val="00B11189"/>
    <w:rsid w:val="00B224A7"/>
    <w:rsid w:val="00B33622"/>
    <w:rsid w:val="00B43B50"/>
    <w:rsid w:val="00B4681E"/>
    <w:rsid w:val="00B46DE7"/>
    <w:rsid w:val="00B5252B"/>
    <w:rsid w:val="00B55DA4"/>
    <w:rsid w:val="00B947E5"/>
    <w:rsid w:val="00BB2FAE"/>
    <w:rsid w:val="00BC44F0"/>
    <w:rsid w:val="00BC47F2"/>
    <w:rsid w:val="00BC4DC7"/>
    <w:rsid w:val="00BE2C45"/>
    <w:rsid w:val="00BE5172"/>
    <w:rsid w:val="00BE5F96"/>
    <w:rsid w:val="00BF553B"/>
    <w:rsid w:val="00BF7684"/>
    <w:rsid w:val="00C00101"/>
    <w:rsid w:val="00C069B9"/>
    <w:rsid w:val="00C11DCB"/>
    <w:rsid w:val="00C14C26"/>
    <w:rsid w:val="00C17023"/>
    <w:rsid w:val="00C35904"/>
    <w:rsid w:val="00C36CA6"/>
    <w:rsid w:val="00C43AD2"/>
    <w:rsid w:val="00C44B12"/>
    <w:rsid w:val="00C65520"/>
    <w:rsid w:val="00C7223F"/>
    <w:rsid w:val="00C832E3"/>
    <w:rsid w:val="00C950FE"/>
    <w:rsid w:val="00CA4EDD"/>
    <w:rsid w:val="00CB3B15"/>
    <w:rsid w:val="00CB7D6F"/>
    <w:rsid w:val="00CD251B"/>
    <w:rsid w:val="00CE1BB6"/>
    <w:rsid w:val="00CE4FDF"/>
    <w:rsid w:val="00CF66B8"/>
    <w:rsid w:val="00D21E11"/>
    <w:rsid w:val="00D5320F"/>
    <w:rsid w:val="00D533C9"/>
    <w:rsid w:val="00D549C5"/>
    <w:rsid w:val="00D602A6"/>
    <w:rsid w:val="00D61ABA"/>
    <w:rsid w:val="00D61D6B"/>
    <w:rsid w:val="00D6458F"/>
    <w:rsid w:val="00D70939"/>
    <w:rsid w:val="00D76C87"/>
    <w:rsid w:val="00D912DA"/>
    <w:rsid w:val="00DA2D82"/>
    <w:rsid w:val="00DB2F66"/>
    <w:rsid w:val="00DB341D"/>
    <w:rsid w:val="00DB519B"/>
    <w:rsid w:val="00DC2095"/>
    <w:rsid w:val="00DE3A5E"/>
    <w:rsid w:val="00E13E18"/>
    <w:rsid w:val="00E166F3"/>
    <w:rsid w:val="00E166F9"/>
    <w:rsid w:val="00E31D94"/>
    <w:rsid w:val="00E33237"/>
    <w:rsid w:val="00E36D9A"/>
    <w:rsid w:val="00E41069"/>
    <w:rsid w:val="00E4160E"/>
    <w:rsid w:val="00E42CE0"/>
    <w:rsid w:val="00E50D41"/>
    <w:rsid w:val="00E51390"/>
    <w:rsid w:val="00E56FAD"/>
    <w:rsid w:val="00E60F69"/>
    <w:rsid w:val="00E72E82"/>
    <w:rsid w:val="00E84D7C"/>
    <w:rsid w:val="00E90E2E"/>
    <w:rsid w:val="00E96384"/>
    <w:rsid w:val="00E96DBF"/>
    <w:rsid w:val="00EA2797"/>
    <w:rsid w:val="00EA3B82"/>
    <w:rsid w:val="00EC42DA"/>
    <w:rsid w:val="00EC566F"/>
    <w:rsid w:val="00ED27D9"/>
    <w:rsid w:val="00ED6C8C"/>
    <w:rsid w:val="00EE5A5D"/>
    <w:rsid w:val="00F009FF"/>
    <w:rsid w:val="00F078B1"/>
    <w:rsid w:val="00F11D48"/>
    <w:rsid w:val="00F31E66"/>
    <w:rsid w:val="00F65A36"/>
    <w:rsid w:val="00F817F8"/>
    <w:rsid w:val="00F9326D"/>
    <w:rsid w:val="00FB2419"/>
    <w:rsid w:val="00FB387B"/>
    <w:rsid w:val="00FC3256"/>
    <w:rsid w:val="00FC5784"/>
    <w:rsid w:val="00FD5D94"/>
    <w:rsid w:val="00FE3673"/>
    <w:rsid w:val="00FE5C9F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657AEC"/>
    <w:pPr>
      <w:suppressAutoHyphens w:val="0"/>
      <w:spacing w:before="100" w:beforeAutospacing="1" w:after="100" w:afterAutospacing="1"/>
    </w:pPr>
    <w:rPr>
      <w:rFonts w:ascii="Times" w:eastAsia="MS Mincho" w:hAnsi="Times"/>
      <w:lang w:eastAsia="it-IT"/>
    </w:rPr>
  </w:style>
  <w:style w:type="table" w:styleId="Grigliatabella">
    <w:name w:val="Table Grid"/>
    <w:basedOn w:val="Tabellanormale"/>
    <w:uiPriority w:val="59"/>
    <w:rsid w:val="0078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657AEC"/>
    <w:pPr>
      <w:suppressAutoHyphens w:val="0"/>
      <w:spacing w:before="100" w:beforeAutospacing="1" w:after="100" w:afterAutospacing="1"/>
    </w:pPr>
    <w:rPr>
      <w:rFonts w:ascii="Times" w:eastAsia="MS Mincho" w:hAnsi="Times"/>
      <w:lang w:eastAsia="it-IT"/>
    </w:rPr>
  </w:style>
  <w:style w:type="table" w:styleId="Grigliatabella">
    <w:name w:val="Table Grid"/>
    <w:basedOn w:val="Tabellanormale"/>
    <w:uiPriority w:val="59"/>
    <w:rsid w:val="0078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193225\Desktop\carta%20intestata\Carta%20DIP%20-%20REV1_data20140207%20-%20Copia%20-%20Copia%20(5)%20-%20Cop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9DCA-D3F4-D546-88D5-31869BF2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DIP - REV1_data20140207 - Copia - Copia (5) - Copia.dot</Template>
  <TotalTime>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cto4193225</dc:creator>
  <cp:lastModifiedBy>molf2237150</cp:lastModifiedBy>
  <cp:revision>2</cp:revision>
  <cp:lastPrinted>2016-12-29T11:42:00Z</cp:lastPrinted>
  <dcterms:created xsi:type="dcterms:W3CDTF">2017-01-09T07:58:00Z</dcterms:created>
  <dcterms:modified xsi:type="dcterms:W3CDTF">2017-01-09T07:58:00Z</dcterms:modified>
</cp:coreProperties>
</file>