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30/06</w:t>
      </w:r>
      <w:r w:rsidRPr="00793785">
        <w:rPr>
          <w:b/>
          <w:sz w:val="48"/>
          <w:szCs w:val="48"/>
        </w:rPr>
        <w:t>/2021 è pari a</w:t>
      </w:r>
    </w:p>
    <w:p w:rsid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  <w:highlight w:val="yellow"/>
        </w:rPr>
        <w:t>– 11</w:t>
      </w:r>
    </w:p>
    <w:p w:rsid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 e l’indicatore Tempestività di Pagamenti relativo al II Trimestre 2021 è pari a 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  <w:highlight w:val="yellow"/>
        </w:rPr>
        <w:t>– 11</w:t>
      </w: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9C3D7A">
        <w:t>ministrativo AGRF mail del 27.07</w:t>
      </w:r>
      <w:bookmarkStart w:id="0" w:name="_GoBack"/>
      <w:bookmarkEnd w:id="0"/>
      <w:r>
        <w:t>.2021)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730DE3"/>
    <w:rsid w:val="00793785"/>
    <w:rsid w:val="009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2021-07-27T13:51:00Z</dcterms:created>
  <dcterms:modified xsi:type="dcterms:W3CDTF">2021-07-27T15:36:00Z</dcterms:modified>
</cp:coreProperties>
</file>