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YSpec="top"/>
        <w:tblW w:w="0" w:type="auto"/>
        <w:tblLook w:val="04A0"/>
      </w:tblPr>
      <w:tblGrid>
        <w:gridCol w:w="1440"/>
        <w:gridCol w:w="7173"/>
      </w:tblGrid>
      <w:tr w:rsidR="007E594A" w:rsidTr="00137EA7">
        <w:trPr>
          <w:trHeight w:val="1440"/>
        </w:trPr>
        <w:tc>
          <w:tcPr>
            <w:tcW w:w="1440" w:type="dxa"/>
            <w:tcBorders>
              <w:bottom w:val="single" w:sz="12" w:space="0" w:color="FFFFFF"/>
            </w:tcBorders>
            <w:shd w:val="clear" w:color="auto" w:fill="9E3A38"/>
          </w:tcPr>
          <w:p w:rsidR="007E594A" w:rsidRPr="009E0263" w:rsidRDefault="007E594A" w:rsidP="00137EA7">
            <w:pPr>
              <w:rPr>
                <w:b/>
                <w:bCs/>
                <w:color w:val="FFFFFF"/>
              </w:rPr>
            </w:pPr>
          </w:p>
        </w:tc>
        <w:tc>
          <w:tcPr>
            <w:tcW w:w="7173" w:type="dxa"/>
            <w:tcBorders>
              <w:bottom w:val="single" w:sz="12" w:space="0" w:color="FFFFFF"/>
            </w:tcBorders>
            <w:shd w:val="clear" w:color="auto" w:fill="9E3A38"/>
          </w:tcPr>
          <w:p w:rsidR="007E594A" w:rsidRPr="009E0263" w:rsidRDefault="007E594A" w:rsidP="00137EA7">
            <w:pPr>
              <w:pStyle w:val="Nessunaspaziatura"/>
              <w:rPr>
                <w:color w:val="FFFFFF"/>
                <w:sz w:val="72"/>
                <w:szCs w:val="72"/>
              </w:rPr>
            </w:pPr>
            <w:r w:rsidRPr="009E0263">
              <w:rPr>
                <w:color w:val="FFFFFF"/>
                <w:sz w:val="72"/>
                <w:szCs w:val="72"/>
              </w:rPr>
              <w:t>PROGETTO</w:t>
            </w:r>
          </w:p>
          <w:p w:rsidR="007E594A" w:rsidRPr="009E0263" w:rsidRDefault="007E594A" w:rsidP="00137EA7">
            <w:pPr>
              <w:pStyle w:val="Nessunaspaziatura"/>
              <w:rPr>
                <w:color w:val="FFFFFF"/>
                <w:sz w:val="32"/>
                <w:szCs w:val="32"/>
              </w:rPr>
            </w:pPr>
            <w:r w:rsidRPr="009E0263">
              <w:rPr>
                <w:color w:val="FFFFFF"/>
                <w:sz w:val="32"/>
                <w:szCs w:val="32"/>
              </w:rPr>
              <w:t>LA COSTRUZIONE SOCIALE DEGLI AMBIENTI DI CURA</w:t>
            </w:r>
          </w:p>
          <w:p w:rsidR="007E594A" w:rsidRPr="009E0263" w:rsidRDefault="007E594A" w:rsidP="00137EA7">
            <w:pPr>
              <w:pStyle w:val="Nessunaspaziatura"/>
              <w:rPr>
                <w:color w:val="FFFFFF"/>
                <w:sz w:val="32"/>
                <w:szCs w:val="32"/>
              </w:rPr>
            </w:pPr>
          </w:p>
          <w:p w:rsidR="007E594A" w:rsidRPr="009E0263" w:rsidRDefault="007E594A" w:rsidP="00137EA7">
            <w:pPr>
              <w:pStyle w:val="Nessunaspaziatura"/>
              <w:rPr>
                <w:b/>
                <w:bCs/>
                <w:color w:val="FFFFFF"/>
                <w:sz w:val="36"/>
                <w:szCs w:val="36"/>
              </w:rPr>
            </w:pPr>
          </w:p>
          <w:p w:rsidR="007E594A" w:rsidRPr="009E0263" w:rsidRDefault="007E594A" w:rsidP="00137EA7">
            <w:pPr>
              <w:pStyle w:val="Nessunaspaziatura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7E594A" w:rsidTr="00137EA7">
        <w:trPr>
          <w:trHeight w:val="2880"/>
        </w:trPr>
        <w:tc>
          <w:tcPr>
            <w:tcW w:w="1440" w:type="dxa"/>
            <w:shd w:val="clear" w:color="auto" w:fill="DBE5F1"/>
          </w:tcPr>
          <w:p w:rsidR="007E594A" w:rsidRPr="009E0263" w:rsidRDefault="007E594A" w:rsidP="00137EA7">
            <w:pPr>
              <w:rPr>
                <w:b/>
                <w:bCs/>
                <w:color w:val="000000"/>
              </w:rPr>
            </w:pPr>
          </w:p>
        </w:tc>
        <w:tc>
          <w:tcPr>
            <w:tcW w:w="7173" w:type="dxa"/>
            <w:shd w:val="clear" w:color="auto" w:fill="DBE5F1"/>
          </w:tcPr>
          <w:p w:rsidR="007E594A" w:rsidRPr="009E0263" w:rsidRDefault="007E594A" w:rsidP="00137EA7">
            <w:pPr>
              <w:pStyle w:val="Nessunaspaziatura"/>
              <w:rPr>
                <w:b/>
                <w:bCs/>
                <w:color w:val="FFFFFF"/>
                <w:sz w:val="24"/>
                <w:szCs w:val="24"/>
              </w:rPr>
            </w:pPr>
            <w:r w:rsidRPr="009E0263">
              <w:rPr>
                <w:b/>
                <w:bCs/>
                <w:color w:val="FFFFFF"/>
                <w:sz w:val="24"/>
                <w:szCs w:val="24"/>
                <w:highlight w:val="darkRed"/>
              </w:rPr>
              <w:t>Il paziente e i suoi vissuti: strumenti per apprenderli</w:t>
            </w:r>
          </w:p>
          <w:p w:rsidR="007E594A" w:rsidRPr="009E0263" w:rsidRDefault="007E594A" w:rsidP="00137EA7">
            <w:pPr>
              <w:pStyle w:val="Nessunaspaziatura"/>
              <w:rPr>
                <w:color w:val="76923C"/>
              </w:rPr>
            </w:pPr>
          </w:p>
        </w:tc>
      </w:tr>
    </w:tbl>
    <w:p w:rsidR="007E594A" w:rsidRDefault="007E594A" w:rsidP="007E594A"/>
    <w:p w:rsidR="007E594A" w:rsidRDefault="007E594A" w:rsidP="007E594A"/>
    <w:p w:rsidR="007E594A" w:rsidRDefault="007E594A" w:rsidP="007E594A"/>
    <w:tbl>
      <w:tblPr>
        <w:tblpPr w:leftFromText="187" w:rightFromText="187" w:vertAnchor="page" w:horzAnchor="margin" w:tblpY="11971"/>
        <w:tblW w:w="5000" w:type="pct"/>
        <w:tblLook w:val="04A0"/>
      </w:tblPr>
      <w:tblGrid>
        <w:gridCol w:w="9854"/>
      </w:tblGrid>
      <w:tr w:rsidR="007E594A" w:rsidTr="00137EA7">
        <w:tc>
          <w:tcPr>
            <w:tcW w:w="0" w:type="auto"/>
            <w:tcBorders>
              <w:bottom w:val="single" w:sz="12" w:space="0" w:color="FFFFFF"/>
            </w:tcBorders>
            <w:shd w:val="clear" w:color="auto" w:fill="9E3A38"/>
          </w:tcPr>
          <w:p w:rsidR="007E594A" w:rsidRPr="009E0263" w:rsidRDefault="007E594A" w:rsidP="00137EA7">
            <w:pPr>
              <w:pStyle w:val="Nessunaspaziatura"/>
              <w:rPr>
                <w:b/>
                <w:bCs/>
                <w:caps/>
                <w:color w:val="76923C"/>
                <w:sz w:val="72"/>
                <w:szCs w:val="72"/>
              </w:rPr>
            </w:pPr>
          </w:p>
          <w:p w:rsidR="007E594A" w:rsidRPr="009E0263" w:rsidRDefault="007E594A" w:rsidP="00137EA7">
            <w:pPr>
              <w:pStyle w:val="Nessunaspaziatura"/>
              <w:rPr>
                <w:b/>
                <w:bCs/>
                <w:caps/>
                <w:color w:val="FFFFFF"/>
                <w:sz w:val="72"/>
                <w:szCs w:val="72"/>
              </w:rPr>
            </w:pPr>
          </w:p>
        </w:tc>
      </w:tr>
      <w:tr w:rsidR="007E594A" w:rsidTr="00137EA7">
        <w:tc>
          <w:tcPr>
            <w:tcW w:w="0" w:type="auto"/>
            <w:shd w:val="clear" w:color="auto" w:fill="DBE5F1"/>
          </w:tcPr>
          <w:p w:rsidR="00941726" w:rsidRPr="00941726" w:rsidRDefault="00941726" w:rsidP="007E594A">
            <w:pPr>
              <w:pStyle w:val="Nessunaspaziatura"/>
              <w:jc w:val="right"/>
              <w:rPr>
                <w:b/>
                <w:bCs/>
                <w:color w:val="632423"/>
                <w:sz w:val="20"/>
                <w:szCs w:val="20"/>
              </w:rPr>
            </w:pPr>
            <w:r w:rsidRPr="00941726">
              <w:rPr>
                <w:b/>
                <w:bCs/>
                <w:color w:val="632423"/>
                <w:sz w:val="20"/>
                <w:szCs w:val="20"/>
              </w:rPr>
              <w:t xml:space="preserve">Project </w:t>
            </w:r>
            <w:r>
              <w:rPr>
                <w:b/>
                <w:bCs/>
                <w:color w:val="632423"/>
                <w:sz w:val="20"/>
                <w:szCs w:val="20"/>
              </w:rPr>
              <w:t>M</w:t>
            </w:r>
            <w:r w:rsidRPr="00941726">
              <w:rPr>
                <w:b/>
                <w:bCs/>
                <w:color w:val="632423"/>
                <w:sz w:val="20"/>
                <w:szCs w:val="20"/>
              </w:rPr>
              <w:t xml:space="preserve">anager </w:t>
            </w:r>
          </w:p>
          <w:p w:rsidR="007E594A" w:rsidRPr="00941726" w:rsidRDefault="007E594A" w:rsidP="007E594A">
            <w:pPr>
              <w:pStyle w:val="Nessunaspaziatura"/>
              <w:jc w:val="right"/>
              <w:rPr>
                <w:b/>
                <w:bCs/>
                <w:color w:val="632423"/>
                <w:sz w:val="20"/>
                <w:szCs w:val="20"/>
              </w:rPr>
            </w:pPr>
            <w:r w:rsidRPr="00941726">
              <w:rPr>
                <w:b/>
                <w:bCs/>
                <w:color w:val="632423"/>
                <w:sz w:val="20"/>
                <w:szCs w:val="20"/>
              </w:rPr>
              <w:t xml:space="preserve">Milena RIZZO </w:t>
            </w:r>
          </w:p>
          <w:p w:rsidR="007E594A" w:rsidRPr="00941726" w:rsidRDefault="007E594A" w:rsidP="007E594A">
            <w:pPr>
              <w:pStyle w:val="Nessunaspaziatura"/>
              <w:jc w:val="right"/>
              <w:rPr>
                <w:b/>
                <w:bCs/>
                <w:color w:val="632423"/>
                <w:sz w:val="20"/>
                <w:szCs w:val="20"/>
              </w:rPr>
            </w:pPr>
            <w:r w:rsidRPr="00941726">
              <w:rPr>
                <w:b/>
                <w:bCs/>
                <w:color w:val="632423"/>
                <w:sz w:val="20"/>
                <w:szCs w:val="20"/>
              </w:rPr>
              <w:t>milena.rizzo@unisalento.it</w:t>
            </w:r>
          </w:p>
        </w:tc>
      </w:tr>
      <w:tr w:rsidR="007E594A" w:rsidTr="00137EA7">
        <w:tc>
          <w:tcPr>
            <w:tcW w:w="0" w:type="auto"/>
            <w:shd w:val="clear" w:color="auto" w:fill="EDF2F8"/>
          </w:tcPr>
          <w:p w:rsidR="007E594A" w:rsidRPr="00941726" w:rsidRDefault="007E594A" w:rsidP="007E594A">
            <w:pPr>
              <w:pStyle w:val="Nessunaspaziatura"/>
              <w:jc w:val="right"/>
              <w:rPr>
                <w:b/>
                <w:bCs/>
                <w:color w:val="632423"/>
                <w:sz w:val="20"/>
                <w:szCs w:val="20"/>
              </w:rPr>
            </w:pPr>
            <w:r w:rsidRPr="00941726">
              <w:rPr>
                <w:b/>
                <w:bCs/>
                <w:color w:val="632423"/>
                <w:sz w:val="20"/>
                <w:szCs w:val="20"/>
              </w:rPr>
              <w:t xml:space="preserve">380/5281304 </w:t>
            </w:r>
          </w:p>
        </w:tc>
      </w:tr>
    </w:tbl>
    <w:p w:rsidR="007E594A" w:rsidRDefault="007E594A" w:rsidP="007E594A">
      <w:pPr>
        <w:spacing w:before="120" w:after="120"/>
        <w:ind w:left="720" w:right="458"/>
        <w:jc w:val="both"/>
        <w:rPr>
          <w:rFonts w:ascii="Arial Narrow" w:hAnsi="Arial Narrow"/>
          <w:sz w:val="20"/>
        </w:rPr>
      </w:pPr>
      <w:r>
        <w:rPr>
          <w:rFonts w:ascii="Calibri" w:hAnsi="Calibri" w:cs="Arial"/>
          <w:iCs/>
        </w:rPr>
        <w:br w:type="page"/>
      </w:r>
    </w:p>
    <w:p w:rsidR="007E594A" w:rsidRDefault="007E594A" w:rsidP="007E594A">
      <w:pPr>
        <w:spacing w:before="120" w:after="120"/>
        <w:ind w:right="458"/>
        <w:jc w:val="center"/>
        <w:rPr>
          <w:rFonts w:ascii="Calibri" w:hAnsi="Calibri" w:cs="Arial"/>
          <w:b/>
          <w:iCs/>
          <w:szCs w:val="16"/>
        </w:rPr>
      </w:pPr>
      <w:r>
        <w:rPr>
          <w:rFonts w:ascii="Calibri" w:hAnsi="Calibri" w:cs="Arial"/>
          <w:b/>
          <w:iCs/>
          <w:szCs w:val="16"/>
        </w:rPr>
        <w:lastRenderedPageBreak/>
        <w:t>Anagrafica di progetto</w:t>
      </w:r>
    </w:p>
    <w:p w:rsidR="007E594A" w:rsidRPr="0034318F" w:rsidRDefault="007E594A" w:rsidP="007E594A">
      <w:pPr>
        <w:spacing w:before="120" w:after="120"/>
        <w:ind w:right="458"/>
        <w:jc w:val="center"/>
        <w:rPr>
          <w:rFonts w:ascii="Calibri" w:hAnsi="Calibri" w:cs="Arial"/>
          <w:b/>
          <w:iCs/>
          <w:szCs w:val="16"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0263">
              <w:rPr>
                <w:rFonts w:ascii="Calibri" w:hAnsi="Calibri"/>
                <w:b/>
                <w:color w:val="000000"/>
              </w:rPr>
              <w:t xml:space="preserve">Soggetto attuatore 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Regione Puglia (Assessorato al Welfare – Organismo Regionale per la Formazione in Sanità)</w:t>
            </w:r>
          </w:p>
        </w:tc>
      </w:tr>
    </w:tbl>
    <w:p w:rsidR="007E594A" w:rsidRPr="00ED6583" w:rsidRDefault="007E594A" w:rsidP="007E594A">
      <w:pPr>
        <w:spacing w:before="120" w:after="120"/>
        <w:ind w:left="142" w:right="458"/>
        <w:jc w:val="both"/>
        <w:rPr>
          <w:rFonts w:ascii="Calibri" w:hAnsi="Calibri" w:cs="Arial"/>
          <w:b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0263">
              <w:rPr>
                <w:rFonts w:ascii="Calibri" w:hAnsi="Calibri"/>
                <w:b/>
                <w:color w:val="000000"/>
              </w:rPr>
              <w:t xml:space="preserve">Ambito territoriale di riferimento 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  <w:r w:rsidRPr="009E0263">
              <w:rPr>
                <w:rFonts w:ascii="Calibri" w:hAnsi="Calibri"/>
                <w:color w:val="000000"/>
              </w:rPr>
              <w:t xml:space="preserve">Regione Puglia </w:t>
            </w:r>
          </w:p>
          <w:p w:rsidR="007E594A" w:rsidRPr="009E0263" w:rsidRDefault="007E594A" w:rsidP="00137EA7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7E594A" w:rsidRPr="00ED6583" w:rsidRDefault="007E594A" w:rsidP="007E594A">
      <w:pPr>
        <w:spacing w:before="120" w:after="120"/>
        <w:ind w:left="142" w:right="458"/>
        <w:jc w:val="both"/>
        <w:rPr>
          <w:rFonts w:ascii="Calibri" w:hAnsi="Calibri" w:cs="Arial"/>
          <w:b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0263">
              <w:rPr>
                <w:rFonts w:ascii="Calibri" w:hAnsi="Calibri"/>
                <w:b/>
                <w:color w:val="000000"/>
              </w:rPr>
              <w:t xml:space="preserve">Ambito generale di intervento 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9E0263">
              <w:rPr>
                <w:color w:val="000000"/>
                <w:sz w:val="24"/>
                <w:szCs w:val="24"/>
              </w:rPr>
              <w:t>Promozione della cittadinanza attiva, della tutela del diritto alla salute e della dignità della persona</w:t>
            </w:r>
          </w:p>
          <w:p w:rsidR="007E594A" w:rsidRPr="009E0263" w:rsidRDefault="007E594A" w:rsidP="00137EA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E594A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0263">
              <w:rPr>
                <w:rFonts w:ascii="Calibri" w:hAnsi="Calibri"/>
                <w:b/>
                <w:color w:val="000000"/>
              </w:rPr>
              <w:t xml:space="preserve">Localizzazione  dell’intervento </w:t>
            </w:r>
          </w:p>
        </w:tc>
        <w:tc>
          <w:tcPr>
            <w:tcW w:w="6447" w:type="dxa"/>
            <w:shd w:val="clear" w:color="auto" w:fill="DBE5F1"/>
          </w:tcPr>
          <w:p w:rsidR="007E594A" w:rsidRDefault="007E594A" w:rsidP="007E594A">
            <w:pPr>
              <w:pStyle w:val="Nessunaspaziatura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Sono previste 3 edizioni, per complessive 204 ore di percorso formativo, da realizzarsi presso </w:t>
            </w:r>
          </w:p>
          <w:p w:rsidR="007E594A" w:rsidRDefault="007E594A" w:rsidP="007E594A">
            <w:pPr>
              <w:pStyle w:val="Nessunaspaziatur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Edizione - Asl Lecce-Brindisi-Taranto;</w:t>
            </w:r>
          </w:p>
          <w:p w:rsidR="007E594A" w:rsidRDefault="007E594A" w:rsidP="007E594A">
            <w:pPr>
              <w:pStyle w:val="Nessunaspaziatur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Edizione– Asl Bat – Foggia;</w:t>
            </w:r>
          </w:p>
          <w:p w:rsidR="007E594A" w:rsidRPr="009E0263" w:rsidRDefault="007E594A" w:rsidP="007E594A">
            <w:pPr>
              <w:pStyle w:val="Nessunaspaziatura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Edizione – Asl Bari</w:t>
            </w:r>
          </w:p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E594A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881B62" w:rsidRDefault="007E594A" w:rsidP="00881B6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E0263">
              <w:rPr>
                <w:rFonts w:ascii="Calibri" w:hAnsi="Calibri"/>
                <w:b/>
                <w:color w:val="000000"/>
              </w:rPr>
              <w:t>Destinatari</w:t>
            </w:r>
          </w:p>
          <w:p w:rsidR="007E594A" w:rsidRPr="009E0263" w:rsidRDefault="007E594A" w:rsidP="0032757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pStyle w:val="Nessunaspaziatura"/>
              <w:rPr>
                <w:color w:val="000000"/>
                <w:sz w:val="24"/>
                <w:szCs w:val="24"/>
              </w:rPr>
            </w:pPr>
            <w:r w:rsidRPr="009E0263">
              <w:rPr>
                <w:color w:val="000000"/>
                <w:sz w:val="24"/>
                <w:szCs w:val="24"/>
              </w:rPr>
              <w:t>Tutte le catego</w:t>
            </w:r>
            <w:r w:rsidR="00327576">
              <w:rPr>
                <w:color w:val="000000"/>
                <w:sz w:val="24"/>
                <w:szCs w:val="24"/>
              </w:rPr>
              <w:t>rie delle professioni sanitarie</w:t>
            </w:r>
          </w:p>
          <w:p w:rsidR="007E594A" w:rsidRPr="009E0263" w:rsidRDefault="007E594A" w:rsidP="00327576">
            <w:pPr>
              <w:pStyle w:val="Nessunaspaziatura"/>
              <w:rPr>
                <w:b/>
                <w:color w:val="000000"/>
              </w:rPr>
            </w:pPr>
          </w:p>
        </w:tc>
      </w:tr>
    </w:tbl>
    <w:p w:rsidR="007E594A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Periodo di realizzazione 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Fine maggio – dicembre 2014</w:t>
            </w:r>
          </w:p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</w:p>
        </w:tc>
      </w:tr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447" w:type="dxa"/>
            <w:shd w:val="clear" w:color="auto" w:fill="EDF2F8"/>
          </w:tcPr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</w:p>
        </w:tc>
      </w:tr>
    </w:tbl>
    <w:p w:rsidR="007E594A" w:rsidRPr="00A72CB2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137EA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Analisi di contesto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</w:p>
        </w:tc>
      </w:tr>
      <w:tr w:rsidR="00A117A5" w:rsidRPr="009E0263" w:rsidTr="00C15F4E">
        <w:trPr>
          <w:trHeight w:val="607"/>
        </w:trPr>
        <w:tc>
          <w:tcPr>
            <w:tcW w:w="8716" w:type="dxa"/>
            <w:gridSpan w:val="2"/>
            <w:shd w:val="clear" w:color="auto" w:fill="D3DFEE"/>
          </w:tcPr>
          <w:p w:rsidR="00611019" w:rsidRPr="00611019" w:rsidRDefault="00A117A5" w:rsidP="00611019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611019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Gli ospedali sono una realtà in continua evoluzione. Non vi è dubbio che i processi di cambiamento abbiano avuto origine da una profonda rivisitazione dei concetti di “servizio pubblico” e di “paziente”. Sebbene, però, gli interventi del legislatore su questo versante abbiano raggiunto entità ragguardevoli, ci si </w:t>
            </w:r>
            <w:r w:rsidRPr="00611019">
              <w:rPr>
                <w:rFonts w:ascii="Calibri" w:eastAsia="Times New Roman" w:hAnsi="Calibri" w:cs="Times New Roman"/>
                <w:kern w:val="0"/>
                <w:lang w:eastAsia="it-IT" w:bidi="ar-SA"/>
              </w:rPr>
              <w:lastRenderedPageBreak/>
              <w:t xml:space="preserve">rende conto, per altro verso, che affermare </w:t>
            </w:r>
            <w:r w:rsidRPr="00611019">
              <w:rPr>
                <w:rFonts w:ascii="Calibri" w:eastAsia="Times New Roman" w:hAnsi="Calibri" w:cs="Arial"/>
                <w:kern w:val="0"/>
                <w:lang w:eastAsia="it-IT" w:bidi="ar-SA"/>
              </w:rPr>
              <w:t>la salute come bene condiviso, rafforzando il concetto di coscienza collettiva della salute, non è operazione facile da realizzare. Importanti fattori di carattere epidemiologico e socio-culturale obbligano, nel breve termine, a un radicale ripensamento del rapporto medico-paziente che persegua l’obiettivo di porre quest’ultimo nelle condizioni d</w:t>
            </w:r>
            <w:r w:rsidR="00D82A01">
              <w:rPr>
                <w:rFonts w:ascii="Calibri" w:eastAsia="Times New Roman" w:hAnsi="Calibri" w:cs="Arial"/>
                <w:kern w:val="0"/>
                <w:lang w:eastAsia="it-IT" w:bidi="ar-SA"/>
              </w:rPr>
              <w:t xml:space="preserve">i esercitare attivamente il </w:t>
            </w:r>
            <w:r w:rsidRPr="00611019">
              <w:rPr>
                <w:rFonts w:ascii="Calibri" w:eastAsia="Times New Roman" w:hAnsi="Calibri" w:cs="Arial"/>
                <w:kern w:val="0"/>
                <w:lang w:eastAsia="it-IT" w:bidi="ar-SA"/>
              </w:rPr>
              <w:t>proprio diritto alla salute e alla cura.</w:t>
            </w:r>
          </w:p>
          <w:p w:rsidR="00611019" w:rsidRPr="00611019" w:rsidRDefault="00611019" w:rsidP="0061101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Optima-Regular"/>
                <w:kern w:val="0"/>
                <w:lang w:eastAsia="en-US" w:bidi="ar-SA"/>
              </w:rPr>
            </w:pPr>
            <w:r w:rsidRPr="0061101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La Sanità in Italia - non è fuori luogo sottolinearlo - mostra una situazione per certi versi particolare: a fronte di una medicina pubblica che, per </w:t>
            </w:r>
            <w:r w:rsidRPr="00611019">
              <w:rPr>
                <w:rFonts w:ascii="Calibri" w:eastAsia="Calibri" w:hAnsi="Calibri" w:cs="Arial"/>
                <w:i/>
                <w:kern w:val="0"/>
                <w:lang w:eastAsia="en-US" w:bidi="ar-SA"/>
              </w:rPr>
              <w:t>standards</w:t>
            </w:r>
            <w:r w:rsidRPr="0061101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 scientifici e tecnologici, eguaglia con riconosciuto merito le prassi consolidate a livello internazionale, le </w:t>
            </w:r>
            <w:r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strategie di settoree la </w:t>
            </w:r>
            <w:r w:rsidRPr="00611019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formazione scontano un forte ritardo su alcune scelte etiche nelle quali condizionamenti politici, ideologici e religiosi hanno  un forte influsso. Si aggiunga a ciò la mancanza di una sistematica considerazione, sotto il profilo legislativo e organizzativo, verso quegli aspetti che concernono </w:t>
            </w:r>
            <w:r w:rsidRPr="00611019">
              <w:rPr>
                <w:rFonts w:ascii="Calibri" w:eastAsia="Calibri" w:hAnsi="Calibri" w:cs="Arial"/>
                <w:i/>
                <w:kern w:val="0"/>
                <w:lang w:eastAsia="en-US" w:bidi="ar-SA"/>
              </w:rPr>
              <w:t>l’umanizzazione dell’assistenza</w:t>
            </w:r>
            <w:r w:rsidRPr="00611019">
              <w:rPr>
                <w:rFonts w:ascii="Calibri" w:eastAsia="Calibri" w:hAnsi="Calibri" w:cs="Arial"/>
                <w:kern w:val="0"/>
                <w:lang w:eastAsia="en-US" w:bidi="ar-SA"/>
              </w:rPr>
              <w:t>, punto cardine della presente proposta.</w:t>
            </w:r>
          </w:p>
          <w:p w:rsidR="00A117A5" w:rsidRPr="00611019" w:rsidRDefault="00A117A5" w:rsidP="00611019">
            <w:pPr>
              <w:pStyle w:val="Paragrafoelenco"/>
              <w:widowControl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Optima-Regular"/>
                <w:kern w:val="0"/>
                <w:lang w:eastAsia="en-US" w:bidi="ar-SA"/>
              </w:rPr>
            </w:pPr>
            <w:r w:rsidRPr="00611019">
              <w:rPr>
                <w:rFonts w:ascii="Calibri" w:eastAsia="Times New Roman" w:hAnsi="Calibri" w:cs="Arial"/>
                <w:kern w:val="0"/>
                <w:lang w:eastAsia="it-IT" w:bidi="ar-SA"/>
              </w:rPr>
              <w:t>Elevati livelli di professionalità degli operatori della sanità sono richiesti per far fronte a una popolazione di utenti estremamente eterogenea sotto il profilo della provenienza geografica e dell’estrazione culturale. I movimenti migratori diretti verso l’Italia si sono notevolmente intensificati nel periodo che va dai primi anni Ottanta a oggi. Sono circa 5milioni le persone con cittadinanza non italiana che vivono regolarmente sul territorio nazionale; di questi, riferisce l’Istituto Nazionale di Statistica, 96.131 (43.792 M – 52.339 F) risiedono, al primo gennaio 2013, in Puglia.</w:t>
            </w:r>
            <w:r w:rsidRPr="00611019">
              <w:rPr>
                <w:rFonts w:ascii="Calibri" w:eastAsia="Calibri" w:hAnsi="Calibri" w:cs="Optima-Regular"/>
                <w:kern w:val="0"/>
                <w:lang w:eastAsia="en-US" w:bidi="ar-SA"/>
              </w:rPr>
              <w:t xml:space="preserve">In ragione dei cambiamenti socio-demografici avvenuti, insorge l’esigenza di chiarire due questioni chiave: la prima concerne l’opportunità di comprendere che le migrazioni hanno infranto quella omogeneità linguistica, culturale e identitaria sulla quale si era costruito lo Stato nazionale, producendo inevitabili trasformazioni anche nel settore della sanità. La seconda riguarda la possibilità di rielaborare il legame che intercorre  tra immigrazione e welfare, in funzione della duplice veste - di consumatore e di produttore – che lo straniero assume. Per ciò che attiene il presente progetto, si è scelto di non entrare nel merito delle tematiche relative al massiccio ruolo degli immigrati nei settori dei servizi alle famiglie ma di sottolineare che l’immigrato, in quanto consumatore, subisce i condizionamenti imposti dalle barriere all’accesso alle cure (impreparazione del personale sanitario sotto il profilo della normativa vigente e delle trasformazioni in atto nel contesto socio-culturale nel quale le aziende ospedaliere operano, relazione inadeguata con la diversità, disagio linguistico, ecc.). </w:t>
            </w:r>
          </w:p>
          <w:p w:rsidR="00A117A5" w:rsidRPr="009E0263" w:rsidRDefault="00A117A5" w:rsidP="0061101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7E594A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7E594A" w:rsidRPr="009E0263" w:rsidTr="00137EA7">
        <w:trPr>
          <w:trHeight w:val="607"/>
        </w:trPr>
        <w:tc>
          <w:tcPr>
            <w:tcW w:w="2269" w:type="dxa"/>
            <w:shd w:val="clear" w:color="auto" w:fill="D3DFEE"/>
          </w:tcPr>
          <w:p w:rsidR="007E594A" w:rsidRPr="009E0263" w:rsidRDefault="007E594A" w:rsidP="007E594A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Obiettivi</w:t>
            </w:r>
            <w:r w:rsidR="00157FD7">
              <w:rPr>
                <w:rFonts w:ascii="Calibri" w:hAnsi="Calibri"/>
                <w:b/>
                <w:color w:val="000000"/>
              </w:rPr>
              <w:t xml:space="preserve"> specifici</w:t>
            </w:r>
          </w:p>
        </w:tc>
        <w:tc>
          <w:tcPr>
            <w:tcW w:w="6447" w:type="dxa"/>
            <w:shd w:val="clear" w:color="auto" w:fill="DBE5F1"/>
          </w:tcPr>
          <w:p w:rsidR="007E594A" w:rsidRPr="009E0263" w:rsidRDefault="007E594A" w:rsidP="00137EA7">
            <w:pPr>
              <w:rPr>
                <w:rFonts w:ascii="Calibri" w:hAnsi="Calibri"/>
                <w:color w:val="000000"/>
              </w:rPr>
            </w:pPr>
          </w:p>
        </w:tc>
      </w:tr>
      <w:tr w:rsidR="00A117A5" w:rsidRPr="009E0263" w:rsidTr="006F7169">
        <w:trPr>
          <w:trHeight w:val="607"/>
        </w:trPr>
        <w:tc>
          <w:tcPr>
            <w:tcW w:w="8716" w:type="dxa"/>
            <w:gridSpan w:val="2"/>
            <w:shd w:val="clear" w:color="auto" w:fill="D3DFEE"/>
          </w:tcPr>
          <w:p w:rsidR="00157FD7" w:rsidRPr="00157FD7" w:rsidRDefault="00157FD7" w:rsidP="00157FD7">
            <w:pPr>
              <w:jc w:val="both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157FD7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Nell’intento di formalizzare una proposta che si prefigga di cogliere al meglio tutte, o parte, delle criticità in precedenza esposte, si è inteso elaborare un percorso formativo, </w:t>
            </w:r>
            <w:r w:rsidRPr="00157FD7">
              <w:rPr>
                <w:rFonts w:ascii="Calibri" w:hAnsi="Calibri" w:cs="Times New Roman"/>
                <w:kern w:val="0"/>
                <w:lang w:eastAsia="en-US" w:bidi="ar-SA"/>
              </w:rPr>
              <w:t xml:space="preserve">che persegue lo scopo di concorrere alla crescita culturale del </w:t>
            </w:r>
            <w:r w:rsidRPr="00157FD7">
              <w:rPr>
                <w:rFonts w:ascii="Calibri" w:hAnsi="Calibri" w:cs="Times New Roman"/>
                <w:i/>
                <w:kern w:val="0"/>
                <w:lang w:eastAsia="en-US" w:bidi="ar-SA"/>
              </w:rPr>
              <w:t>personale sanitario</w:t>
            </w:r>
            <w:r w:rsidR="00A8572D">
              <w:rPr>
                <w:rFonts w:ascii="Calibri" w:hAnsi="Calibri" w:cs="Times New Roman"/>
                <w:kern w:val="0"/>
                <w:lang w:eastAsia="en-US" w:bidi="ar-SA"/>
              </w:rPr>
              <w:t>, spesso a</w:t>
            </w:r>
            <w:r w:rsidRPr="00157FD7">
              <w:rPr>
                <w:rFonts w:ascii="Calibri" w:hAnsi="Calibri" w:cs="Times New Roman"/>
                <w:kern w:val="0"/>
                <w:lang w:eastAsia="en-US" w:bidi="ar-SA"/>
              </w:rPr>
              <w:t>bituato a un tipo di formazione che costruisce le motivazioni personali prevalentemente sulla volontà di rispondere ai bisogni dell’utente, con la sola competenza tecnica. Atteggiamento, questo, necessario ma non sufficiente, in quanto trascura i temi etici e relazionali.</w:t>
            </w:r>
          </w:p>
          <w:p w:rsidR="00157FD7" w:rsidRPr="00157FD7" w:rsidRDefault="00157FD7" w:rsidP="00157FD7">
            <w:pPr>
              <w:jc w:val="both"/>
              <w:rPr>
                <w:rFonts w:ascii="Calibri" w:eastAsia="Calibri" w:hAnsi="Calibri" w:cs="Arial"/>
                <w:kern w:val="0"/>
                <w:lang w:eastAsia="en-US" w:bidi="ar-SA"/>
              </w:rPr>
            </w:pPr>
            <w:r w:rsidRPr="00157FD7">
              <w:rPr>
                <w:rFonts w:ascii="Calibri" w:hAnsi="Calibri" w:cs="Times New Roman"/>
                <w:kern w:val="0"/>
                <w:lang w:eastAsia="en-US" w:bidi="ar-SA"/>
              </w:rPr>
              <w:t xml:space="preserve">Si rende necessaria, al fine del recupero della dimensione antropologica della persona, la definizione di logiche gestionali appropriate da attuarsi attraverso il coinvolgimento attivo degli operatori e l’introduzione, </w:t>
            </w:r>
            <w:r w:rsidRPr="00157FD7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nell’ambito del ciclo formativo, di alcune metodiche tratte dalle scienze umane. Detto in altri termini, </w:t>
            </w:r>
            <w:r w:rsidR="003F0A4A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occorre </w:t>
            </w:r>
            <w:r w:rsidRPr="00157FD7">
              <w:rPr>
                <w:rFonts w:ascii="Calibri" w:eastAsia="Calibri" w:hAnsi="Calibri" w:cs="Arial"/>
                <w:kern w:val="0"/>
                <w:lang w:eastAsia="en-US" w:bidi="ar-SA"/>
              </w:rPr>
              <w:t>“umanizzare” la form</w:t>
            </w:r>
            <w:r w:rsidR="003F0A4A">
              <w:rPr>
                <w:rFonts w:ascii="Calibri" w:eastAsia="Calibri" w:hAnsi="Calibri" w:cs="Arial"/>
                <w:kern w:val="0"/>
                <w:lang w:eastAsia="en-US" w:bidi="ar-SA"/>
              </w:rPr>
              <w:t>azione, ovvero f</w:t>
            </w:r>
            <w:r w:rsidRPr="00157FD7">
              <w:rPr>
                <w:rFonts w:ascii="Calibri" w:eastAsia="Calibri" w:hAnsi="Calibri" w:cs="Arial"/>
                <w:kern w:val="0"/>
                <w:lang w:eastAsia="en-US" w:bidi="ar-SA"/>
              </w:rPr>
              <w:t>ornire a tutto il personale sanitario alcuni strumenti che consentano di relazionarsi con la malattia come vissuto e con la persona come soggetto unico e irripetibile nella sue peculiarità. Un simile atteggiamento richiede al curante di p</w:t>
            </w:r>
            <w:r w:rsidR="003F0A4A">
              <w:rPr>
                <w:rFonts w:ascii="Calibri" w:eastAsia="Calibri" w:hAnsi="Calibri" w:cs="Arial"/>
                <w:kern w:val="0"/>
                <w:lang w:eastAsia="en-US" w:bidi="ar-SA"/>
              </w:rPr>
              <w:t xml:space="preserve">restare </w:t>
            </w:r>
            <w:r w:rsidRPr="00157FD7">
              <w:rPr>
                <w:rFonts w:ascii="Calibri" w:eastAsia="Calibri" w:hAnsi="Calibri" w:cs="Arial"/>
                <w:kern w:val="0"/>
                <w:lang w:eastAsia="en-US" w:bidi="ar-SA"/>
              </w:rPr>
              <w:t>attenzione alla persona malata nella sua globalità, interezza, unicità; tratti, questi ultimi, che inducono a trattarla in quanto prodotto delle sue relazioni sociali, culturali, economiche e familiari.</w:t>
            </w:r>
          </w:p>
          <w:p w:rsidR="00A117A5" w:rsidRPr="009E0263" w:rsidRDefault="00A117A5" w:rsidP="00137EA7">
            <w:pPr>
              <w:rPr>
                <w:rFonts w:ascii="Calibri" w:hAnsi="Calibri"/>
                <w:color w:val="000000"/>
              </w:rPr>
            </w:pPr>
          </w:p>
        </w:tc>
      </w:tr>
    </w:tbl>
    <w:p w:rsidR="007E594A" w:rsidRDefault="007E594A" w:rsidP="007E594A">
      <w:pPr>
        <w:spacing w:before="120" w:after="120"/>
        <w:ind w:right="458"/>
        <w:jc w:val="both"/>
        <w:rPr>
          <w:rFonts w:ascii="Calibri" w:hAnsi="Calibri" w:cs="Arial"/>
          <w:iCs/>
        </w:rPr>
      </w:pPr>
    </w:p>
    <w:tbl>
      <w:tblPr>
        <w:tblW w:w="0" w:type="auto"/>
        <w:tblLayout w:type="fixed"/>
        <w:tblLook w:val="0000"/>
      </w:tblPr>
      <w:tblGrid>
        <w:gridCol w:w="2269"/>
        <w:gridCol w:w="6447"/>
      </w:tblGrid>
      <w:tr w:rsidR="00541A08" w:rsidRPr="009E0263" w:rsidTr="007B0A69">
        <w:trPr>
          <w:trHeight w:val="607"/>
        </w:trPr>
        <w:tc>
          <w:tcPr>
            <w:tcW w:w="2269" w:type="dxa"/>
            <w:shd w:val="clear" w:color="auto" w:fill="D3DFEE"/>
          </w:tcPr>
          <w:p w:rsidR="00541A08" w:rsidRPr="009E0263" w:rsidRDefault="00541A08" w:rsidP="00541A0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Obiettivi generali </w:t>
            </w:r>
          </w:p>
        </w:tc>
        <w:tc>
          <w:tcPr>
            <w:tcW w:w="6447" w:type="dxa"/>
            <w:shd w:val="clear" w:color="auto" w:fill="DBE5F1"/>
          </w:tcPr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>Progredire nel processo di umanizzazione della medicina, introducendo i partecipanti a contenuti didattici multidisciplinari, pensati allo scopo di riconsiderare le figure portanti della salute.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>Trasferire agli operatori della sanità gli strumenti di pensiero innovativo che consentano loro una nuova percezione di se stessi: non solo tecnici in grado, con il proprio talento e l’esperienza, di risolvere le problematiche di tipo medico e gestionale, ma anche agenti di cambiamento.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Fornire le indicazioni e gli strumenti concettuali e operativi per migliorare la comprensione del vissuto di malattia e i processi di ricerca delle soluzioni ai problemi. 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 xml:space="preserve">Migliorare la relazione terapeutica </w:t>
            </w:r>
            <w:r w:rsidRPr="00541A08">
              <w:rPr>
                <w:rFonts w:ascii="Calibri" w:eastAsia="Times New Roman" w:hAnsi="Calibri" w:cs="GillSans-Italic"/>
                <w:i/>
                <w:iCs/>
                <w:color w:val="1A1A1A"/>
                <w:kern w:val="0"/>
                <w:lang w:eastAsia="it-IT" w:bidi="ar-SA"/>
              </w:rPr>
              <w:t xml:space="preserve">tout court, </w:t>
            </w:r>
            <w:r w:rsidRPr="00541A08">
              <w:rPr>
                <w:rFonts w:ascii="Calibri" w:eastAsia="Times New Roman" w:hAnsi="Calibri" w:cs="GillSans-Italic"/>
                <w:iCs/>
                <w:color w:val="1A1A1A"/>
                <w:kern w:val="0"/>
                <w:lang w:eastAsia="it-IT" w:bidi="ar-SA"/>
              </w:rPr>
              <w:t>con importanti benefici sia sul versante della qualità della comunicazione tra operatori di reparto, sia su quello dell’aderenza del paziente al percorso terapeutico.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>Realizzare la consapevolezza delle diversità attraverso le quali si declina, in diversi luoghi e momenti storici,   l'approccio al problema salute-malattia-cura-guarigione.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>Prendere coscienza dei processi sociali e delle rappresentazioni simboliche per mezzo delle quali i fenomeni che attengono la salute e la cura vengono incorporati nei sistemi cognitivi.</w:t>
            </w:r>
          </w:p>
          <w:p w:rsidR="00541A08" w:rsidRPr="00541A08" w:rsidRDefault="00541A08" w:rsidP="00541A08">
            <w:pPr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  <w:r w:rsidRPr="00541A08">
              <w:rPr>
                <w:rFonts w:ascii="Calibri" w:eastAsia="Calibri" w:hAnsi="Calibri" w:cs="Times New Roman"/>
                <w:kern w:val="0"/>
                <w:lang w:eastAsia="en-US" w:bidi="ar-SA"/>
              </w:rPr>
              <w:t>Pervenire a una globale percezione della persona del malato, indipendentemente dalla sua provenienza socio-culturale e geografica.</w:t>
            </w:r>
          </w:p>
          <w:p w:rsidR="00541A08" w:rsidRPr="00541A08" w:rsidRDefault="00541A08" w:rsidP="00541A08">
            <w:pPr>
              <w:numPr>
                <w:ilvl w:val="0"/>
                <w:numId w:val="11"/>
              </w:numPr>
              <w:ind w:right="-1"/>
              <w:jc w:val="both"/>
              <w:rPr>
                <w:rFonts w:ascii="Calibri" w:hAnsi="Calibri"/>
                <w:b/>
                <w:color w:val="000000"/>
              </w:rPr>
            </w:pP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 xml:space="preserve">Incrementare il </w:t>
            </w:r>
            <w:r w:rsidRPr="00541A08">
              <w:rPr>
                <w:rFonts w:ascii="Calibri" w:eastAsia="Calibri" w:hAnsi="Calibri" w:cs="TT180t00"/>
                <w:kern w:val="0"/>
                <w:lang w:eastAsia="en-US" w:bidi="ar-SA"/>
              </w:rPr>
              <w:t xml:space="preserve">coinvolgimento </w:t>
            </w: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 xml:space="preserve">dei dirigenti di settore </w:t>
            </w:r>
            <w:r w:rsidRPr="00541A08">
              <w:rPr>
                <w:rFonts w:ascii="Calibri" w:eastAsia="Calibri" w:hAnsi="Calibri" w:cs="TT180t00"/>
                <w:kern w:val="0"/>
                <w:lang w:eastAsia="en-US" w:bidi="ar-SA"/>
              </w:rPr>
              <w:t xml:space="preserve">nel raggiungimento degli obiettivi </w:t>
            </w: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 xml:space="preserve">aziendali e di unità operativa con conseguente </w:t>
            </w:r>
            <w:r w:rsidRPr="00541A08">
              <w:rPr>
                <w:rFonts w:ascii="Calibri" w:eastAsia="Calibri" w:hAnsi="Calibri" w:cs="TT180t00"/>
                <w:kern w:val="0"/>
                <w:lang w:eastAsia="en-US" w:bidi="ar-SA"/>
              </w:rPr>
              <w:t>motivazione del personale</w:t>
            </w: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 xml:space="preserve"> e una </w:t>
            </w:r>
            <w:r w:rsidRPr="00541A08">
              <w:rPr>
                <w:rFonts w:ascii="Calibri" w:eastAsia="Calibri" w:hAnsi="Calibri" w:cs="TT180t00"/>
                <w:kern w:val="0"/>
                <w:lang w:eastAsia="en-US" w:bidi="ar-SA"/>
              </w:rPr>
              <w:t xml:space="preserve">diffusa capacità ad avviare politiche del personale </w:t>
            </w: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>che valorizzino realmente il lavoro, le capacità e le competenze relazionali.</w:t>
            </w:r>
          </w:p>
          <w:p w:rsidR="00541A08" w:rsidRPr="009E0263" w:rsidRDefault="00541A08" w:rsidP="00541A08">
            <w:pPr>
              <w:numPr>
                <w:ilvl w:val="0"/>
                <w:numId w:val="11"/>
              </w:numPr>
              <w:ind w:right="-1"/>
              <w:jc w:val="both"/>
              <w:rPr>
                <w:rFonts w:ascii="Calibri" w:hAnsi="Calibri"/>
                <w:color w:val="000000"/>
              </w:rPr>
            </w:pP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 xml:space="preserve">Innescare una </w:t>
            </w:r>
            <w:r w:rsidRPr="00541A08">
              <w:rPr>
                <w:rFonts w:ascii="Calibri" w:eastAsia="Calibri" w:hAnsi="Calibri" w:cs="TT180t00"/>
                <w:kern w:val="0"/>
                <w:lang w:eastAsia="en-US" w:bidi="ar-SA"/>
              </w:rPr>
              <w:t xml:space="preserve">pressante influenza “a cascata” </w:t>
            </w:r>
            <w:r w:rsidRPr="00541A08">
              <w:rPr>
                <w:rFonts w:ascii="Calibri" w:eastAsia="Calibri" w:hAnsi="Calibri" w:cs="TT17Et00"/>
                <w:kern w:val="0"/>
                <w:lang w:eastAsia="en-US" w:bidi="ar-SA"/>
              </w:rPr>
              <w:t>(ministero, assessorato, direzione strategica, dirigenza, operatori) sui temi trattati.</w:t>
            </w:r>
          </w:p>
        </w:tc>
      </w:tr>
      <w:tr w:rsidR="002852C8" w:rsidRPr="009E0263" w:rsidTr="007B0A69">
        <w:trPr>
          <w:trHeight w:val="607"/>
        </w:trPr>
        <w:tc>
          <w:tcPr>
            <w:tcW w:w="2269" w:type="dxa"/>
            <w:shd w:val="clear" w:color="auto" w:fill="D3DFEE"/>
          </w:tcPr>
          <w:p w:rsidR="002852C8" w:rsidRPr="009E0263" w:rsidRDefault="002852C8" w:rsidP="002852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447" w:type="dxa"/>
            <w:shd w:val="clear" w:color="auto" w:fill="DBE5F1"/>
          </w:tcPr>
          <w:p w:rsidR="002852C8" w:rsidRPr="009E0263" w:rsidRDefault="002852C8" w:rsidP="002852C8">
            <w:pPr>
              <w:rPr>
                <w:rFonts w:ascii="Calibri" w:hAnsi="Calibri"/>
                <w:color w:val="000000"/>
              </w:rPr>
            </w:pPr>
          </w:p>
        </w:tc>
      </w:tr>
      <w:tr w:rsidR="002852C8" w:rsidRPr="009E0263" w:rsidTr="007B0A69">
        <w:trPr>
          <w:trHeight w:val="607"/>
        </w:trPr>
        <w:tc>
          <w:tcPr>
            <w:tcW w:w="8716" w:type="dxa"/>
            <w:gridSpan w:val="2"/>
            <w:shd w:val="clear" w:color="auto" w:fill="D3DFEE"/>
          </w:tcPr>
          <w:p w:rsidR="00171F85" w:rsidRPr="009E0263" w:rsidRDefault="00171F85" w:rsidP="00881B62">
            <w:pPr>
              <w:widowControl/>
              <w:suppressAutoHyphens w:val="0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840202" w:rsidRDefault="00840202"/>
    <w:p w:rsidR="00171F85" w:rsidRDefault="00171F85"/>
    <w:p w:rsidR="00171F85" w:rsidRDefault="00171F85" w:rsidP="00171F85">
      <w:pPr>
        <w:jc w:val="center"/>
        <w:rPr>
          <w:rFonts w:asciiTheme="minorHAnsi" w:hAnsiTheme="minorHAnsi"/>
          <w:b/>
          <w:sz w:val="22"/>
          <w:szCs w:val="22"/>
        </w:rPr>
      </w:pPr>
      <w:r w:rsidRPr="00171F85">
        <w:rPr>
          <w:rFonts w:asciiTheme="minorHAnsi" w:hAnsiTheme="minorHAnsi"/>
          <w:b/>
          <w:sz w:val="22"/>
          <w:szCs w:val="22"/>
        </w:rPr>
        <w:t>Schema riepilogativo didattica</w:t>
      </w:r>
    </w:p>
    <w:p w:rsidR="00171F85" w:rsidRDefault="00171F85" w:rsidP="00171F85">
      <w:pPr>
        <w:jc w:val="center"/>
      </w:pPr>
    </w:p>
    <w:tbl>
      <w:tblPr>
        <w:tblpPr w:leftFromText="141" w:rightFromText="141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8"/>
        <w:gridCol w:w="897"/>
        <w:gridCol w:w="1560"/>
        <w:gridCol w:w="1842"/>
        <w:gridCol w:w="3471"/>
      </w:tblGrid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MODULI DIDATTICI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DURATA  (in  ore)</w:t>
            </w:r>
          </w:p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Attrezzature e tecnologie didattiche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Materiali, sussidi, strumenti di lavoro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Metodologia</w:t>
            </w:r>
          </w:p>
        </w:tc>
      </w:tr>
      <w:tr w:rsidR="00717162" w:rsidRPr="00171F85" w:rsidTr="000F1AFB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2" w:rsidRDefault="00717162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717162" w:rsidRDefault="00717162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COMUNICARE PER PRODURRE</w:t>
            </w:r>
          </w:p>
          <w:p w:rsidR="00717162" w:rsidRPr="00171F85" w:rsidRDefault="00717162" w:rsidP="00171F85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Comunicare per produrre: la costruzione sociale dei luoghi di lavoro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9D15FD">
              <w:rPr>
                <w:rFonts w:ascii="Calibri" w:hAnsi="Calibri" w:cs="Arial"/>
                <w:sz w:val="20"/>
                <w:szCs w:val="20"/>
                <w:lang w:eastAsia="en-US"/>
              </w:rPr>
              <w:t>Lavagna a fogli mobili, videoproiettore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Schede riassuntive, filmati, letteratura scientifica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/>
                <w:sz w:val="20"/>
                <w:szCs w:val="20"/>
                <w:lang w:eastAsia="en-US"/>
              </w:rPr>
              <w:t xml:space="preserve">Esercitazioni strutturate, autocasi ed esemplificazioni che coinvolgano attivamente i formandi; momenti di </w:t>
            </w:r>
            <w:r w:rsidRPr="00171F85">
              <w:rPr>
                <w:rFonts w:ascii="Calibri" w:hAnsi="Calibri"/>
                <w:i/>
                <w:sz w:val="20"/>
                <w:szCs w:val="20"/>
                <w:lang w:eastAsia="en-US"/>
              </w:rPr>
              <w:t>feedback</w:t>
            </w:r>
            <w:r w:rsidRPr="00171F85">
              <w:rPr>
                <w:rFonts w:ascii="Calibri" w:hAnsi="Calibri"/>
                <w:sz w:val="20"/>
                <w:szCs w:val="20"/>
                <w:lang w:eastAsia="en-US"/>
              </w:rPr>
              <w:t xml:space="preserve"> sui risultati delle esercitazioni; brevi </w:t>
            </w:r>
            <w:r w:rsidRPr="00171F85">
              <w:rPr>
                <w:rFonts w:ascii="Calibri" w:hAnsi="Calibri"/>
                <w:i/>
                <w:sz w:val="20"/>
                <w:szCs w:val="20"/>
                <w:lang w:eastAsia="en-US"/>
              </w:rPr>
              <w:t>input</w:t>
            </w:r>
            <w:r w:rsidRPr="00171F85">
              <w:rPr>
                <w:rFonts w:ascii="Calibri" w:hAnsi="Calibri"/>
                <w:sz w:val="20"/>
                <w:szCs w:val="20"/>
                <w:lang w:eastAsia="en-US"/>
              </w:rPr>
              <w:t xml:space="preserve"> concettuali che favoriscano l’acquisizione di conoscenze dichiarative, la condivisione di un linguaggio di base comune; momenti collettivi di discussione e confronto.</w:t>
            </w:r>
          </w:p>
        </w:tc>
      </w:tr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La creazione del gruppo/clima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Idem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Idem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eastAsia="Times New Roman" w:hAnsi="Calibri" w:cs="Arial"/>
                <w:kern w:val="0"/>
                <w:sz w:val="20"/>
                <w:szCs w:val="20"/>
                <w:lang w:eastAsia="it-IT" w:bidi="ar-SA"/>
              </w:rPr>
              <w:t>Momenti di stimolo attraverso indagini d’aula; giochi di ruolo, case history e roleplaying; lavoro di riflessione e sperimentazione a livello individuale, di coppia e in piccoli gruppi; metodo della narrazione.</w:t>
            </w:r>
          </w:p>
        </w:tc>
      </w:tr>
      <w:tr w:rsidR="00717162" w:rsidRPr="00171F85" w:rsidTr="002250EF"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2" w:rsidRDefault="00717162" w:rsidP="00171F85">
            <w:pPr>
              <w:rPr>
                <w:rFonts w:ascii="Calibri" w:eastAsia="Times New Roman" w:hAnsi="Calibri" w:cs="Arial"/>
                <w:kern w:val="0"/>
                <w:sz w:val="20"/>
                <w:szCs w:val="20"/>
                <w:lang w:eastAsia="it-IT" w:bidi="ar-SA"/>
              </w:rPr>
            </w:pPr>
          </w:p>
          <w:p w:rsidR="00717162" w:rsidRPr="00717162" w:rsidRDefault="00717162" w:rsidP="00717162">
            <w:pPr>
              <w:jc w:val="center"/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Calibri" w:eastAsia="Times New Roman" w:hAnsi="Calibri" w:cs="Arial"/>
                <w:b/>
                <w:kern w:val="0"/>
                <w:sz w:val="20"/>
                <w:szCs w:val="20"/>
                <w:lang w:eastAsia="it-IT" w:bidi="ar-SA"/>
              </w:rPr>
              <w:t xml:space="preserve"> IL PROCESSO DI UMANIZZAZIONE DELLE CURE</w:t>
            </w:r>
          </w:p>
          <w:p w:rsidR="00717162" w:rsidRPr="00171F85" w:rsidRDefault="00717162" w:rsidP="00171F85">
            <w:pPr>
              <w:rPr>
                <w:rFonts w:ascii="Calibri" w:eastAsia="Times New Roman" w:hAnsi="Calibri" w:cs="Arial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Default="00171F85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L’antropologia medica</w:t>
            </w:r>
          </w:p>
          <w:p w:rsidR="00717162" w:rsidRPr="00171F85" w:rsidRDefault="00717162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717162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Idem</w:t>
            </w:r>
          </w:p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Sperimentazioni realizzate in altre realtà, letteratura di riferimento, questionari, articoli su stampa</w:t>
            </w:r>
            <w:r w:rsidR="00717162">
              <w:rPr>
                <w:rFonts w:ascii="Calibri" w:hAnsi="Calibri" w:cs="Arial"/>
                <w:sz w:val="20"/>
                <w:szCs w:val="20"/>
                <w:lang w:eastAsia="en-US"/>
              </w:rPr>
              <w:t>. Materiale di studio per approfondimenti tematici</w:t>
            </w:r>
            <w:bookmarkStart w:id="0" w:name="_GoBack"/>
            <w:bookmarkEnd w:id="0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717162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/>
                <w:sz w:val="20"/>
                <w:szCs w:val="20"/>
                <w:lang w:eastAsia="en-US"/>
              </w:rPr>
              <w:t xml:space="preserve">Data la natura e la collocazione disciplinare dei contenuti, la metodologia didattica si pone l’obiettivo di valorizzare la dimensione seminariale e cooperativa, cercando di rendere quanto più possibile ampio e critico il confronto con i punti di vista e l’esperienza professionale dei partecipanti. </w:t>
            </w:r>
          </w:p>
        </w:tc>
      </w:tr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71F85" w:rsidRPr="00171F85" w:rsidRDefault="00171F85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Le MedicalHumanities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  <w:tr w:rsidR="00171F85" w:rsidRPr="00171F85" w:rsidTr="00171F8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171F85" w:rsidRPr="00171F85" w:rsidRDefault="00171F85" w:rsidP="00171F85">
            <w:pPr>
              <w:jc w:val="both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Immigrazione e sanità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171F85">
              <w:rPr>
                <w:rFonts w:ascii="Calibri" w:hAnsi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85" w:rsidRPr="00171F85" w:rsidRDefault="00171F85" w:rsidP="00171F85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171F85" w:rsidRDefault="00171F85"/>
    <w:sectPr w:rsidR="00171F85" w:rsidSect="00CE25B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06" w:rsidRDefault="004A1606" w:rsidP="00B14408">
      <w:r>
        <w:separator/>
      </w:r>
    </w:p>
  </w:endnote>
  <w:endnote w:type="continuationSeparator" w:id="1">
    <w:p w:rsidR="004A1606" w:rsidRDefault="004A1606" w:rsidP="00B1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2470"/>
      <w:docPartObj>
        <w:docPartGallery w:val="Page Numbers (Bottom of Page)"/>
        <w:docPartUnique/>
      </w:docPartObj>
    </w:sdtPr>
    <w:sdtContent>
      <w:p w:rsidR="00B14408" w:rsidRDefault="00CE25BD">
        <w:pPr>
          <w:pStyle w:val="Pidipagina"/>
          <w:jc w:val="right"/>
        </w:pPr>
        <w:r>
          <w:fldChar w:fldCharType="begin"/>
        </w:r>
        <w:r w:rsidR="00B14408">
          <w:instrText>PAGE   \* MERGEFORMAT</w:instrText>
        </w:r>
        <w:r>
          <w:fldChar w:fldCharType="separate"/>
        </w:r>
        <w:r w:rsidR="00B46052">
          <w:rPr>
            <w:noProof/>
          </w:rPr>
          <w:t>1</w:t>
        </w:r>
        <w:r>
          <w:fldChar w:fldCharType="end"/>
        </w:r>
      </w:p>
    </w:sdtContent>
  </w:sdt>
  <w:p w:rsidR="00B14408" w:rsidRDefault="00B1440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06" w:rsidRDefault="004A1606" w:rsidP="00B14408">
      <w:r>
        <w:separator/>
      </w:r>
    </w:p>
  </w:footnote>
  <w:footnote w:type="continuationSeparator" w:id="1">
    <w:p w:rsidR="004A1606" w:rsidRDefault="004A1606" w:rsidP="00B14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8291BF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CEE0496"/>
    <w:multiLevelType w:val="multilevel"/>
    <w:tmpl w:val="120CBE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1E777708"/>
    <w:multiLevelType w:val="hybridMultilevel"/>
    <w:tmpl w:val="A2EA9C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47339"/>
    <w:multiLevelType w:val="hybridMultilevel"/>
    <w:tmpl w:val="4C665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3CB5"/>
    <w:multiLevelType w:val="hybridMultilevel"/>
    <w:tmpl w:val="F7260C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707D9"/>
    <w:multiLevelType w:val="hybridMultilevel"/>
    <w:tmpl w:val="8D1022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0FB9"/>
    <w:multiLevelType w:val="hybridMultilevel"/>
    <w:tmpl w:val="5FAEF8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A20E2"/>
    <w:multiLevelType w:val="hybridMultilevel"/>
    <w:tmpl w:val="54D28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32E6F"/>
    <w:multiLevelType w:val="hybridMultilevel"/>
    <w:tmpl w:val="220A2C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E5459"/>
    <w:multiLevelType w:val="hybridMultilevel"/>
    <w:tmpl w:val="399EC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100A0"/>
    <w:multiLevelType w:val="multilevel"/>
    <w:tmpl w:val="556C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4A"/>
    <w:rsid w:val="0003413C"/>
    <w:rsid w:val="00157FD7"/>
    <w:rsid w:val="00171F85"/>
    <w:rsid w:val="002852C8"/>
    <w:rsid w:val="003208CF"/>
    <w:rsid w:val="00327576"/>
    <w:rsid w:val="003F0A4A"/>
    <w:rsid w:val="004600C1"/>
    <w:rsid w:val="00464358"/>
    <w:rsid w:val="004A1606"/>
    <w:rsid w:val="00541A08"/>
    <w:rsid w:val="00611019"/>
    <w:rsid w:val="00717162"/>
    <w:rsid w:val="007B0A69"/>
    <w:rsid w:val="007E594A"/>
    <w:rsid w:val="00840202"/>
    <w:rsid w:val="00881B62"/>
    <w:rsid w:val="00941726"/>
    <w:rsid w:val="00982E67"/>
    <w:rsid w:val="00A117A5"/>
    <w:rsid w:val="00A8572D"/>
    <w:rsid w:val="00AF1B0C"/>
    <w:rsid w:val="00B06198"/>
    <w:rsid w:val="00B14408"/>
    <w:rsid w:val="00B46052"/>
    <w:rsid w:val="00BF7FE0"/>
    <w:rsid w:val="00CE25BD"/>
    <w:rsid w:val="00D8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94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E594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7E594A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11019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144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4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144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4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94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E594A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7E594A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611019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B144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44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1440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440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 </cp:lastModifiedBy>
  <cp:revision>2</cp:revision>
  <dcterms:created xsi:type="dcterms:W3CDTF">2014-08-08T09:15:00Z</dcterms:created>
  <dcterms:modified xsi:type="dcterms:W3CDTF">2014-08-08T09:15:00Z</dcterms:modified>
</cp:coreProperties>
</file>